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81"/>
        <w:gridCol w:w="4095"/>
      </w:tblGrid>
      <w:tr w:rsidR="00D07D01" w:rsidRPr="009C3D5A" w:rsidTr="00820484">
        <w:trPr>
          <w:trHeight w:val="915"/>
        </w:trPr>
        <w:tc>
          <w:tcPr>
            <w:tcW w:w="5644" w:type="dxa"/>
            <w:vAlign w:val="center"/>
          </w:tcPr>
          <w:p w:rsidR="00D07D01" w:rsidRPr="009C3D5A" w:rsidRDefault="00197079" w:rsidP="0082048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2018</w:t>
            </w:r>
            <w:r w:rsidR="00D07D01"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F128F8">
              <w:rPr>
                <w:rFonts w:asciiTheme="majorHAnsi" w:eastAsiaTheme="majorEastAsia" w:hAnsiTheme="majorHAnsi" w:cstheme="majorBidi"/>
                <w:sz w:val="36"/>
                <w:szCs w:val="36"/>
              </w:rPr>
              <w:t>MART</w:t>
            </w:r>
            <w:r w:rsidR="00D07D01"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D07D01" w:rsidRPr="009C3D5A" w:rsidRDefault="00D07D01" w:rsidP="0082048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>DIŞ TİCARET BÜLTENİ</w:t>
            </w:r>
          </w:p>
        </w:tc>
        <w:tc>
          <w:tcPr>
            <w:tcW w:w="4678" w:type="dxa"/>
          </w:tcPr>
          <w:p w:rsidR="00D07D01" w:rsidRPr="009C3D5A" w:rsidRDefault="004E2F7D" w:rsidP="00F128F8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30</w:t>
            </w:r>
            <w:r w:rsidR="00CB0A4D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F128F8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Nisan</w:t>
            </w:r>
            <w:r w:rsidR="009C3D5A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540D42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8</w:t>
            </w:r>
            <w:r w:rsidR="00D07D01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D07D01" w:rsidRPr="009C3D5A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6DFE769D" wp14:editId="561960F7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7D01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D07D01" w:rsidRPr="009C3D5A" w:rsidRDefault="00D07D01" w:rsidP="00D07D01">
      <w:pPr>
        <w:pStyle w:val="stbilgi"/>
      </w:pPr>
    </w:p>
    <w:p w:rsidR="00D07D01" w:rsidRPr="009C3D5A" w:rsidRDefault="00F128F8" w:rsidP="008B246F">
      <w:pPr>
        <w:jc w:val="both"/>
        <w:rPr>
          <w:b/>
        </w:rPr>
      </w:pPr>
      <w:r>
        <w:rPr>
          <w:b/>
        </w:rPr>
        <w:t>Mar</w:t>
      </w:r>
      <w:r w:rsidR="004E2F7D">
        <w:rPr>
          <w:b/>
        </w:rPr>
        <w:t>t</w:t>
      </w:r>
      <w:r w:rsidR="00D07D01" w:rsidRPr="009C3D5A">
        <w:rPr>
          <w:b/>
        </w:rPr>
        <w:t xml:space="preserve"> 201</w:t>
      </w:r>
      <w:r w:rsidR="008974F5">
        <w:rPr>
          <w:b/>
        </w:rPr>
        <w:t>8</w:t>
      </w:r>
      <w:r w:rsidR="00D07D01" w:rsidRPr="009C3D5A">
        <w:rPr>
          <w:b/>
        </w:rPr>
        <w:t xml:space="preserve"> Dış ticaret istatistiklerine ilişkin veriler Türkiye İstati</w:t>
      </w:r>
      <w:r w:rsidR="004E2F7D">
        <w:rPr>
          <w:b/>
        </w:rPr>
        <w:t>stik Kurumu (TÜİK) tarafından 30</w:t>
      </w:r>
      <w:r w:rsidR="00540D42">
        <w:rPr>
          <w:b/>
        </w:rPr>
        <w:t xml:space="preserve"> </w:t>
      </w:r>
      <w:r>
        <w:rPr>
          <w:b/>
        </w:rPr>
        <w:t>Nisan</w:t>
      </w:r>
      <w:r w:rsidR="00D07D01" w:rsidRPr="009C3D5A">
        <w:rPr>
          <w:b/>
        </w:rPr>
        <w:t xml:space="preserve"> 201</w:t>
      </w:r>
      <w:r w:rsidR="00540D42">
        <w:rPr>
          <w:b/>
        </w:rPr>
        <w:t>8</w:t>
      </w:r>
      <w:r w:rsidR="00D07D01" w:rsidRPr="009C3D5A">
        <w:rPr>
          <w:b/>
        </w:rPr>
        <w:t xml:space="preserve"> tarihinde yayımlandı.</w:t>
      </w:r>
    </w:p>
    <w:p w:rsidR="00F43AC2" w:rsidRPr="009C3D5A" w:rsidRDefault="00F43AC2" w:rsidP="008B246F">
      <w:pPr>
        <w:jc w:val="both"/>
      </w:pPr>
      <w:r w:rsidRPr="009C3D5A">
        <w:t>TÜİK</w:t>
      </w:r>
      <w:r w:rsidR="004D49AB">
        <w:t>,</w:t>
      </w:r>
      <w:r w:rsidRPr="009C3D5A">
        <w:t xml:space="preserve"> </w:t>
      </w:r>
      <w:r w:rsidR="00134344" w:rsidRPr="009C3D5A">
        <w:t xml:space="preserve">Gümrük ve Ticaret Bakanlığı işbirliği ile hazırladığı dış ticaret verilerini aylık olarak yayınlamaktadır. </w:t>
      </w:r>
    </w:p>
    <w:p w:rsidR="00764636" w:rsidRPr="009C3D5A" w:rsidRDefault="00F128F8" w:rsidP="008B246F">
      <w:pPr>
        <w:jc w:val="both"/>
      </w:pPr>
      <w:r>
        <w:t>Mart</w:t>
      </w:r>
      <w:r w:rsidR="00764636" w:rsidRPr="009C3D5A">
        <w:t xml:space="preserve"> ayında Türkiye’nin </w:t>
      </w:r>
      <w:r w:rsidR="00672626" w:rsidRPr="009C3D5A">
        <w:t>ihracatı</w:t>
      </w:r>
      <w:r w:rsidR="007C538F">
        <w:t>,</w:t>
      </w:r>
      <w:r w:rsidR="00672626" w:rsidRPr="009C3D5A">
        <w:t xml:space="preserve"> </w:t>
      </w:r>
      <w:r w:rsidR="00764636" w:rsidRPr="009C3D5A">
        <w:t>bir önceki yılın aynı ayına göre yü</w:t>
      </w:r>
      <w:r w:rsidR="00DB20D7">
        <w:t xml:space="preserve">zde </w:t>
      </w:r>
      <w:r>
        <w:t>7,7</w:t>
      </w:r>
      <w:r w:rsidR="00800962">
        <w:t xml:space="preserve"> </w:t>
      </w:r>
      <w:r>
        <w:t>artarak 15</w:t>
      </w:r>
      <w:r w:rsidR="00764636" w:rsidRPr="009C3D5A">
        <w:t xml:space="preserve"> milyar</w:t>
      </w:r>
      <w:r w:rsidR="005C02CC">
        <w:t xml:space="preserve"> </w:t>
      </w:r>
      <w:r>
        <w:t>587</w:t>
      </w:r>
      <w:r w:rsidR="00676E49">
        <w:t xml:space="preserve"> milyon</w:t>
      </w:r>
      <w:r w:rsidR="00207511">
        <w:t xml:space="preserve"> dolar oldu</w:t>
      </w:r>
      <w:r w:rsidR="00764636" w:rsidRPr="009C3D5A">
        <w:t xml:space="preserve">. </w:t>
      </w:r>
      <w:r>
        <w:t>Mart</w:t>
      </w:r>
      <w:r w:rsidR="002157EE" w:rsidRPr="009C3D5A">
        <w:t xml:space="preserve"> ayı </w:t>
      </w:r>
      <w:r w:rsidR="000E09A3">
        <w:t>ithalatı</w:t>
      </w:r>
      <w:r w:rsidR="00BC0061">
        <w:t>,</w:t>
      </w:r>
      <w:r w:rsidR="00DB20D7">
        <w:t xml:space="preserve"> bir önceki </w:t>
      </w:r>
      <w:r w:rsidR="000E09A3">
        <w:t>yılın aynı ayına</w:t>
      </w:r>
      <w:r w:rsidR="00DB20D7">
        <w:t xml:space="preserve"> göre</w:t>
      </w:r>
      <w:r w:rsidR="002157EE" w:rsidRPr="009C3D5A">
        <w:t xml:space="preserve"> yüzde </w:t>
      </w:r>
      <w:r>
        <w:t>12</w:t>
      </w:r>
      <w:r w:rsidR="004E2F7D">
        <w:t>,7</w:t>
      </w:r>
      <w:r w:rsidR="005C02CC">
        <w:t xml:space="preserve"> artarak </w:t>
      </w:r>
      <w:r>
        <w:t>21</w:t>
      </w:r>
      <w:r w:rsidR="00DB20D7">
        <w:t xml:space="preserve"> milyar</w:t>
      </w:r>
      <w:r w:rsidR="00047A3E">
        <w:t xml:space="preserve"> </w:t>
      </w:r>
      <w:r>
        <w:t>442</w:t>
      </w:r>
      <w:r w:rsidR="00676E49">
        <w:t xml:space="preserve"> milyon</w:t>
      </w:r>
      <w:r w:rsidR="00DB20D7">
        <w:t xml:space="preserve"> dolar </w:t>
      </w:r>
      <w:r w:rsidR="00207511">
        <w:t>olarak gerçekleşti</w:t>
      </w:r>
      <w:r w:rsidR="002157EE" w:rsidRPr="009C3D5A">
        <w:t>.</w:t>
      </w:r>
      <w:r w:rsidR="00B61CAE" w:rsidRPr="009C3D5A">
        <w:t xml:space="preserve"> </w:t>
      </w:r>
      <w:r w:rsidR="00540D42">
        <w:t xml:space="preserve">Buna göre </w:t>
      </w:r>
      <w:r>
        <w:t>Mart</w:t>
      </w:r>
      <w:r w:rsidR="00DB20D7">
        <w:t xml:space="preserve"> ayı dış ticaret açığı,</w:t>
      </w:r>
      <w:r w:rsidR="008B246F" w:rsidRPr="009C3D5A">
        <w:t xml:space="preserve"> yüzde </w:t>
      </w:r>
      <w:r>
        <w:t>28,8</w:t>
      </w:r>
      <w:r w:rsidR="00024E59" w:rsidRPr="009C3D5A">
        <w:t xml:space="preserve"> </w:t>
      </w:r>
      <w:r w:rsidR="00676E49">
        <w:t>arta</w:t>
      </w:r>
      <w:r w:rsidR="00DB20D7">
        <w:t>rak</w:t>
      </w:r>
      <w:r w:rsidR="00024E59" w:rsidRPr="009C3D5A">
        <w:t xml:space="preserve"> </w:t>
      </w:r>
      <w:r w:rsidR="004E2F7D">
        <w:t>5</w:t>
      </w:r>
      <w:r w:rsidR="00024E59" w:rsidRPr="009C3D5A">
        <w:t xml:space="preserve"> milyar </w:t>
      </w:r>
      <w:r>
        <w:t>855</w:t>
      </w:r>
      <w:r w:rsidR="00DB20D7">
        <w:t xml:space="preserve"> milyon dolar</w:t>
      </w:r>
      <w:r w:rsidR="00676E49">
        <w:t xml:space="preserve">a yükseldi. </w:t>
      </w:r>
      <w:r w:rsidR="008974F5">
        <w:t>2017</w:t>
      </w:r>
      <w:r w:rsidR="00EB5E5C">
        <w:t xml:space="preserve"> </w:t>
      </w:r>
      <w:r>
        <w:t>Mart</w:t>
      </w:r>
      <w:r w:rsidR="00540D42">
        <w:t xml:space="preserve"> ayında yüzde </w:t>
      </w:r>
      <w:r>
        <w:t>76,1</w:t>
      </w:r>
      <w:r w:rsidR="00CA6A1E">
        <w:t xml:space="preserve"> </w:t>
      </w:r>
      <w:r w:rsidR="0023568E">
        <w:t>olan ihracatın itha</w:t>
      </w:r>
      <w:r w:rsidR="00CA6A1E">
        <w:t>latı karşılama oranı ise 2018</w:t>
      </w:r>
      <w:r w:rsidR="00EB5E5C">
        <w:t xml:space="preserve"> </w:t>
      </w:r>
      <w:r>
        <w:t>Mart</w:t>
      </w:r>
      <w:r w:rsidR="00047A3E">
        <w:t xml:space="preserve"> ayında yüzde </w:t>
      </w:r>
      <w:r>
        <w:t>72,7’ye</w:t>
      </w:r>
      <w:r w:rsidR="004E2F7D">
        <w:t xml:space="preserve"> </w:t>
      </w:r>
      <w:r>
        <w:t>geriledi.</w:t>
      </w:r>
    </w:p>
    <w:p w:rsidR="00E20164" w:rsidRPr="009C3D5A" w:rsidRDefault="00F43AC2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Şekil 1:</w:t>
      </w:r>
      <w:r w:rsidR="00C13B06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Aylara göre </w:t>
      </w:r>
      <w:r w:rsidR="00B861B5">
        <w:rPr>
          <w:rFonts w:eastAsia="Times New Roman" w:cs="Times New Roman"/>
          <w:b/>
          <w:bCs/>
          <w:kern w:val="36"/>
          <w:sz w:val="24"/>
          <w:szCs w:val="24"/>
        </w:rPr>
        <w:t>ihracat, milyar</w:t>
      </w:r>
      <w:r w:rsidR="005D6CB6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$ </w:t>
      </w:r>
      <w:r w:rsidR="00197079">
        <w:rPr>
          <w:rFonts w:eastAsia="Times New Roman" w:cs="Times New Roman"/>
          <w:b/>
          <w:bCs/>
          <w:kern w:val="36"/>
          <w:sz w:val="24"/>
          <w:szCs w:val="24"/>
        </w:rPr>
        <w:t xml:space="preserve"> (2017</w:t>
      </w:r>
      <w:r w:rsidR="0097436F">
        <w:rPr>
          <w:rFonts w:eastAsia="Times New Roman" w:cs="Times New Roman"/>
          <w:b/>
          <w:bCs/>
          <w:kern w:val="36"/>
          <w:sz w:val="24"/>
          <w:szCs w:val="24"/>
        </w:rPr>
        <w:t xml:space="preserve"> Ocak</w:t>
      </w:r>
      <w:r w:rsidR="00197079">
        <w:rPr>
          <w:rFonts w:eastAsia="Times New Roman" w:cs="Times New Roman"/>
          <w:b/>
          <w:bCs/>
          <w:kern w:val="36"/>
          <w:sz w:val="24"/>
          <w:szCs w:val="24"/>
        </w:rPr>
        <w:t>-2018</w:t>
      </w:r>
      <w:r w:rsidR="00981AD3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4B1DC6">
        <w:rPr>
          <w:rFonts w:eastAsia="Times New Roman" w:cs="Times New Roman"/>
          <w:b/>
          <w:bCs/>
          <w:kern w:val="36"/>
          <w:sz w:val="24"/>
          <w:szCs w:val="24"/>
        </w:rPr>
        <w:t>Mart</w:t>
      </w:r>
      <w:r w:rsidR="00C13B06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BB3701" w:rsidRPr="009C3D5A" w:rsidRDefault="004B1DC6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26A9CE35" wp14:editId="5B587F00">
            <wp:extent cx="5848350" cy="1971675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2888" w:rsidRPr="008D17ED" w:rsidRDefault="005D6CB6" w:rsidP="00A62888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A62888" w:rsidRPr="009C3D5A" w:rsidRDefault="00A62888" w:rsidP="00A62888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867C71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2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: Aylara göre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ithalat, milyar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$ </w:t>
      </w:r>
      <w:r w:rsidR="00197079">
        <w:rPr>
          <w:rFonts w:eastAsia="Times New Roman" w:cs="Times New Roman"/>
          <w:b/>
          <w:bCs/>
          <w:kern w:val="36"/>
          <w:sz w:val="24"/>
          <w:szCs w:val="24"/>
        </w:rPr>
        <w:t xml:space="preserve"> (2017</w:t>
      </w:r>
      <w:r w:rsidR="0097436F">
        <w:rPr>
          <w:rFonts w:eastAsia="Times New Roman" w:cs="Times New Roman"/>
          <w:b/>
          <w:bCs/>
          <w:kern w:val="36"/>
          <w:sz w:val="24"/>
          <w:szCs w:val="24"/>
        </w:rPr>
        <w:t xml:space="preserve"> Ocak</w:t>
      </w:r>
      <w:r w:rsidR="00197079">
        <w:rPr>
          <w:rFonts w:eastAsia="Times New Roman" w:cs="Times New Roman"/>
          <w:b/>
          <w:bCs/>
          <w:kern w:val="36"/>
          <w:sz w:val="24"/>
          <w:szCs w:val="24"/>
        </w:rPr>
        <w:t>-2018</w:t>
      </w:r>
      <w:r w:rsidR="000174DC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4B1DC6">
        <w:rPr>
          <w:rFonts w:eastAsia="Times New Roman" w:cs="Times New Roman"/>
          <w:b/>
          <w:bCs/>
          <w:kern w:val="36"/>
          <w:sz w:val="24"/>
          <w:szCs w:val="24"/>
        </w:rPr>
        <w:t>Mart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714CDE" w:rsidRDefault="004B1DC6" w:rsidP="00DB359A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6D0D023B" wp14:editId="271B8C78">
            <wp:extent cx="5848350" cy="2019300"/>
            <wp:effectExtent l="0" t="0" r="0" b="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359A" w:rsidRPr="002C7332" w:rsidRDefault="00DB359A" w:rsidP="00DB359A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 w:rsidRPr="00DB359A">
        <w:rPr>
          <w:rFonts w:eastAsia="Times New Roman" w:cs="Times New Roman"/>
          <w:b/>
          <w:bCs/>
          <w:kern w:val="36"/>
          <w:sz w:val="14"/>
          <w:szCs w:val="24"/>
        </w:rPr>
        <w:t xml:space="preserve"> </w:t>
      </w: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207511" w:rsidRPr="008D17ED" w:rsidRDefault="00207511" w:rsidP="00DB359A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</w:p>
    <w:p w:rsidR="00913A90" w:rsidRPr="002C7332" w:rsidRDefault="00E86C2E" w:rsidP="002C7332">
      <w:pPr>
        <w:jc w:val="both"/>
      </w:pPr>
      <w:r w:rsidRPr="00E86C2E">
        <w:t>İhracat rakamları</w:t>
      </w:r>
      <w:r w:rsidR="002C7332">
        <w:t xml:space="preserve"> 2018’in </w:t>
      </w:r>
      <w:r w:rsidR="004B1DC6">
        <w:t>üçüncü</w:t>
      </w:r>
      <w:r w:rsidR="00CA6A1E">
        <w:t xml:space="preserve"> ayında b</w:t>
      </w:r>
      <w:r>
        <w:t xml:space="preserve">ir önceki aya göre </w:t>
      </w:r>
      <w:r w:rsidR="00E0516C">
        <w:t>yüzde</w:t>
      </w:r>
      <w:r w:rsidR="00BC0061">
        <w:t xml:space="preserve"> </w:t>
      </w:r>
      <w:r w:rsidR="004B1DC6">
        <w:t>18,5</w:t>
      </w:r>
      <w:r>
        <w:t>; bir önceki yı</w:t>
      </w:r>
      <w:r w:rsidR="00E0516C">
        <w:t xml:space="preserve">lın aynı </w:t>
      </w:r>
      <w:r w:rsidR="002C7332">
        <w:t>dönemine</w:t>
      </w:r>
      <w:r w:rsidR="00E0516C">
        <w:t xml:space="preserve"> göre ise yüzde</w:t>
      </w:r>
      <w:r w:rsidR="00913A90">
        <w:t xml:space="preserve"> </w:t>
      </w:r>
      <w:r w:rsidR="004B1DC6">
        <w:t>7,7</w:t>
      </w:r>
      <w:r w:rsidR="00BC0061">
        <w:t xml:space="preserve"> artış</w:t>
      </w:r>
      <w:r>
        <w:t xml:space="preserve"> göster</w:t>
      </w:r>
      <w:r w:rsidR="004B1DC6">
        <w:t>irken, 15,6</w:t>
      </w:r>
      <w:r w:rsidR="00E0516C">
        <w:t xml:space="preserve"> milyar dolar</w:t>
      </w:r>
      <w:r w:rsidR="00207511">
        <w:t xml:space="preserve"> olarak gerçekleş</w:t>
      </w:r>
      <w:r w:rsidR="00E0516C">
        <w:t>ti.</w:t>
      </w:r>
      <w:r>
        <w:t xml:space="preserve"> </w:t>
      </w:r>
      <w:r w:rsidR="00CA6A1E">
        <w:t>2018</w:t>
      </w:r>
      <w:r w:rsidR="00DB359A">
        <w:t xml:space="preserve"> yılına düş</w:t>
      </w:r>
      <w:r>
        <w:t xml:space="preserve">üşle başlayan ithalat rakamları </w:t>
      </w:r>
      <w:r w:rsidR="002C7332">
        <w:t>2018</w:t>
      </w:r>
      <w:r w:rsidR="00DB359A" w:rsidRPr="009C3D5A">
        <w:t xml:space="preserve"> </w:t>
      </w:r>
      <w:bookmarkStart w:id="0" w:name="_GoBack"/>
      <w:r w:rsidR="004B1DC6">
        <w:t>Şubat</w:t>
      </w:r>
      <w:bookmarkEnd w:id="0"/>
      <w:r w:rsidR="00CA6A1E">
        <w:t xml:space="preserve"> </w:t>
      </w:r>
      <w:r w:rsidR="000174DC">
        <w:t xml:space="preserve">ayında </w:t>
      </w:r>
      <w:r w:rsidR="004B1DC6">
        <w:t>18,9</w:t>
      </w:r>
      <w:r w:rsidR="00DB359A" w:rsidRPr="009C3D5A">
        <w:t xml:space="preserve"> milyar dolar olan </w:t>
      </w:r>
      <w:r w:rsidR="00CA6A1E">
        <w:t>iken</w:t>
      </w:r>
      <w:r w:rsidR="00DB359A">
        <w:t>,</w:t>
      </w:r>
      <w:r w:rsidR="00DB359A" w:rsidRPr="009C3D5A">
        <w:t xml:space="preserve"> yüz</w:t>
      </w:r>
      <w:r w:rsidR="00CA6A1E">
        <w:t xml:space="preserve">de </w:t>
      </w:r>
      <w:r w:rsidR="002C7332">
        <w:t>1</w:t>
      </w:r>
      <w:r w:rsidR="004B1DC6">
        <w:t>3,</w:t>
      </w:r>
      <w:r w:rsidR="002C7332">
        <w:t>2</w:t>
      </w:r>
      <w:r w:rsidR="004B1DC6">
        <w:t xml:space="preserve"> art</w:t>
      </w:r>
      <w:r w:rsidR="00CA6A1E">
        <w:t>ış</w:t>
      </w:r>
      <w:r w:rsidR="00EC602A">
        <w:t xml:space="preserve"> ile</w:t>
      </w:r>
      <w:r w:rsidR="000174DC">
        <w:t xml:space="preserve"> </w:t>
      </w:r>
      <w:r w:rsidR="004B1DC6">
        <w:t>Mart</w:t>
      </w:r>
      <w:r w:rsidR="00CA6A1E">
        <w:t xml:space="preserve"> ay</w:t>
      </w:r>
      <w:r w:rsidR="004B1DC6">
        <w:t>ında 21,4</w:t>
      </w:r>
      <w:r w:rsidR="00EC602A">
        <w:t xml:space="preserve"> </w:t>
      </w:r>
      <w:r w:rsidR="00DB359A" w:rsidRPr="009C3D5A">
        <w:t>milyar dolar</w:t>
      </w:r>
      <w:r w:rsidR="001F4B97">
        <w:t xml:space="preserve"> olarak gerçekleşti</w:t>
      </w:r>
      <w:r w:rsidR="00CA6A1E">
        <w:t>.</w:t>
      </w:r>
      <w:r w:rsidR="00DB359A" w:rsidRPr="009C3D5A">
        <w:t xml:space="preserve"> </w:t>
      </w:r>
    </w:p>
    <w:p w:rsidR="00501781" w:rsidRDefault="00E86C2E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lastRenderedPageBreak/>
        <w:t>Şekil 3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:Ülkelere göre</w:t>
      </w:r>
      <w:r w:rsidR="00D308FB">
        <w:rPr>
          <w:rFonts w:eastAsia="Times New Roman" w:cs="Times New Roman"/>
          <w:b/>
          <w:bCs/>
          <w:kern w:val="36"/>
          <w:sz w:val="24"/>
          <w:szCs w:val="24"/>
        </w:rPr>
        <w:t xml:space="preserve"> dış ticaret, $  (2018 </w:t>
      </w:r>
      <w:r w:rsidR="00011E51">
        <w:rPr>
          <w:rFonts w:eastAsia="Times New Roman" w:cs="Times New Roman"/>
          <w:b/>
          <w:bCs/>
          <w:kern w:val="36"/>
          <w:sz w:val="24"/>
          <w:szCs w:val="24"/>
        </w:rPr>
        <w:t>Mart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tbl>
      <w:tblPr>
        <w:tblW w:w="36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019"/>
        <w:gridCol w:w="2043"/>
      </w:tblGrid>
      <w:tr w:rsidR="00587E0B" w:rsidRPr="00587E0B" w:rsidTr="00913A90">
        <w:trPr>
          <w:trHeight w:val="119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101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Ülke adı</w:t>
            </w:r>
          </w:p>
        </w:tc>
        <w:tc>
          <w:tcPr>
            <w:tcW w:w="204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011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İhracat</w:t>
            </w:r>
          </w:p>
        </w:tc>
      </w:tr>
      <w:tr w:rsidR="00011E51" w:rsidRPr="00587E0B" w:rsidTr="00661AD2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11E51" w:rsidRPr="00587E0B" w:rsidRDefault="00011E51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>
            <w:pPr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Almanya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 w:rsidP="00011E51">
            <w:pPr>
              <w:jc w:val="center"/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1.510.705.890</w:t>
            </w:r>
          </w:p>
        </w:tc>
      </w:tr>
      <w:tr w:rsidR="00011E51" w:rsidRPr="00587E0B" w:rsidTr="00661AD2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11E51" w:rsidRPr="00587E0B" w:rsidRDefault="00011E51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>
            <w:pPr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İngiltere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 w:rsidP="00011E51">
            <w:pPr>
              <w:jc w:val="center"/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1.045.140.503</w:t>
            </w:r>
          </w:p>
        </w:tc>
      </w:tr>
      <w:tr w:rsidR="00011E51" w:rsidRPr="00587E0B" w:rsidTr="00661AD2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11E51" w:rsidRPr="00587E0B" w:rsidRDefault="00011E51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>
            <w:pPr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İtalya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 w:rsidP="00011E51">
            <w:pPr>
              <w:jc w:val="center"/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961.121.703</w:t>
            </w:r>
          </w:p>
        </w:tc>
      </w:tr>
      <w:tr w:rsidR="00011E51" w:rsidRPr="00587E0B" w:rsidTr="00661AD2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11E51" w:rsidRPr="00587E0B" w:rsidRDefault="00011E51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>
            <w:pPr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Irak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 w:rsidP="00011E51">
            <w:pPr>
              <w:jc w:val="center"/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738.272.118</w:t>
            </w:r>
          </w:p>
        </w:tc>
      </w:tr>
      <w:tr w:rsidR="00011E51" w:rsidRPr="00587E0B" w:rsidTr="00661AD2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11E51" w:rsidRPr="00587E0B" w:rsidRDefault="00011E51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>
            <w:pPr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İspanya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 w:rsidP="00011E51">
            <w:pPr>
              <w:jc w:val="center"/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713.728.029</w:t>
            </w:r>
          </w:p>
        </w:tc>
      </w:tr>
      <w:tr w:rsidR="00011E51" w:rsidRPr="00587E0B" w:rsidTr="00661AD2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11E51" w:rsidRPr="00587E0B" w:rsidRDefault="00011E51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>
            <w:pPr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ABD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 w:rsidP="00011E51">
            <w:pPr>
              <w:jc w:val="center"/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698.229.109</w:t>
            </w:r>
          </w:p>
        </w:tc>
      </w:tr>
      <w:tr w:rsidR="00011E51" w:rsidRPr="00587E0B" w:rsidTr="00661AD2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11E51" w:rsidRPr="00587E0B" w:rsidRDefault="00011E51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>
            <w:pPr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Fransa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 w:rsidP="00011E51">
            <w:pPr>
              <w:jc w:val="center"/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691.245.856</w:t>
            </w:r>
          </w:p>
        </w:tc>
      </w:tr>
      <w:tr w:rsidR="00011E51" w:rsidRPr="00587E0B" w:rsidTr="00661AD2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11E51" w:rsidRPr="00587E0B" w:rsidRDefault="00011E51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>
            <w:pPr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Hollanda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 w:rsidP="00011E51">
            <w:pPr>
              <w:jc w:val="center"/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494.537.122</w:t>
            </w:r>
          </w:p>
        </w:tc>
      </w:tr>
      <w:tr w:rsidR="00011E51" w:rsidRPr="00587E0B" w:rsidTr="00661AD2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11E51" w:rsidRPr="00587E0B" w:rsidRDefault="00011E51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>
            <w:pPr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Belçika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 w:rsidP="00011E51">
            <w:pPr>
              <w:jc w:val="center"/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399.941.321</w:t>
            </w:r>
          </w:p>
        </w:tc>
      </w:tr>
      <w:tr w:rsidR="00011E51" w:rsidRPr="00587E0B" w:rsidTr="00661AD2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11E51" w:rsidRPr="00587E0B" w:rsidRDefault="00011E51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>
            <w:pPr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İsrail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 w:rsidP="00011E51">
            <w:pPr>
              <w:jc w:val="center"/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393.845.739</w:t>
            </w:r>
          </w:p>
        </w:tc>
      </w:tr>
    </w:tbl>
    <w:tbl>
      <w:tblPr>
        <w:tblpPr w:leftFromText="141" w:rightFromText="141" w:vertAnchor="text" w:horzAnchor="page" w:tblpX="5181" w:tblpY="-5468"/>
        <w:tblW w:w="3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047"/>
        <w:gridCol w:w="2127"/>
      </w:tblGrid>
      <w:tr w:rsidR="00913A90" w:rsidRPr="00587E0B" w:rsidTr="00913A90">
        <w:trPr>
          <w:trHeight w:val="2"/>
        </w:trPr>
        <w:tc>
          <w:tcPr>
            <w:tcW w:w="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104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Ülke adı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011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İthalat</w:t>
            </w:r>
          </w:p>
        </w:tc>
      </w:tr>
      <w:tr w:rsidR="00011E51" w:rsidRPr="00587E0B" w:rsidTr="002C36D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11E51" w:rsidRPr="00587E0B" w:rsidRDefault="00011E51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>
            <w:pPr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Rusya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 w:rsidP="00011E51">
            <w:pPr>
              <w:jc w:val="center"/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2.146.779.778</w:t>
            </w:r>
          </w:p>
        </w:tc>
      </w:tr>
      <w:tr w:rsidR="00011E51" w:rsidRPr="00587E0B" w:rsidTr="002C36D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11E51" w:rsidRPr="00587E0B" w:rsidRDefault="00011E51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>
            <w:pPr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Almanya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 w:rsidP="00011E51">
            <w:pPr>
              <w:jc w:val="center"/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2.101.323.996</w:t>
            </w:r>
          </w:p>
        </w:tc>
      </w:tr>
      <w:tr w:rsidR="00011E51" w:rsidRPr="00587E0B" w:rsidTr="002C36D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11E51" w:rsidRPr="00587E0B" w:rsidRDefault="00011E51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>
            <w:pPr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Çin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 w:rsidP="00011E51">
            <w:pPr>
              <w:jc w:val="center"/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2.001.374.705</w:t>
            </w:r>
          </w:p>
        </w:tc>
      </w:tr>
      <w:tr w:rsidR="00011E51" w:rsidRPr="00587E0B" w:rsidTr="002C36D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11E51" w:rsidRPr="00587E0B" w:rsidRDefault="00011E51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>
            <w:pPr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İngiltere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 w:rsidP="00011E51">
            <w:pPr>
              <w:jc w:val="center"/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1.034.510.191</w:t>
            </w:r>
          </w:p>
        </w:tc>
      </w:tr>
      <w:tr w:rsidR="00011E51" w:rsidRPr="00587E0B" w:rsidTr="002C36D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11E51" w:rsidRPr="00587E0B" w:rsidRDefault="00011E51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>
            <w:pPr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ABD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 w:rsidP="00011E51">
            <w:pPr>
              <w:jc w:val="center"/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1.031.501.557</w:t>
            </w:r>
          </w:p>
        </w:tc>
      </w:tr>
      <w:tr w:rsidR="00011E51" w:rsidRPr="00587E0B" w:rsidTr="002C36D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11E51" w:rsidRPr="00587E0B" w:rsidRDefault="00011E51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>
            <w:pPr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İtalya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 w:rsidP="00011E51">
            <w:pPr>
              <w:jc w:val="center"/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1.019.885.624</w:t>
            </w:r>
          </w:p>
        </w:tc>
      </w:tr>
      <w:tr w:rsidR="00011E51" w:rsidRPr="00587E0B" w:rsidTr="002C36D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11E51" w:rsidRPr="00587E0B" w:rsidRDefault="00011E51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>
            <w:pPr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İran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 w:rsidP="00011E51">
            <w:pPr>
              <w:jc w:val="center"/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736.548.868</w:t>
            </w:r>
          </w:p>
        </w:tc>
      </w:tr>
      <w:tr w:rsidR="00011E51" w:rsidRPr="00587E0B" w:rsidTr="002C36D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11E51" w:rsidRPr="00587E0B" w:rsidRDefault="00011E51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>
            <w:pPr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Fransa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 w:rsidP="00011E51">
            <w:pPr>
              <w:jc w:val="center"/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731.282.288</w:t>
            </w:r>
          </w:p>
        </w:tc>
      </w:tr>
      <w:tr w:rsidR="00011E51" w:rsidRPr="00587E0B" w:rsidTr="002C36D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11E51" w:rsidRPr="00587E0B" w:rsidRDefault="00011E51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>
            <w:pPr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Hindistan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 w:rsidP="00011E51">
            <w:pPr>
              <w:jc w:val="center"/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655.024.714</w:t>
            </w:r>
          </w:p>
        </w:tc>
      </w:tr>
      <w:tr w:rsidR="00011E51" w:rsidRPr="00587E0B" w:rsidTr="002C36D2">
        <w:trPr>
          <w:trHeight w:val="7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11E51" w:rsidRPr="00587E0B" w:rsidRDefault="00011E51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>
            <w:pPr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G. Kore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E51" w:rsidRPr="00011E51" w:rsidRDefault="00011E51" w:rsidP="00011E51">
            <w:pPr>
              <w:jc w:val="center"/>
              <w:rPr>
                <w:rFonts w:cstheme="minorHAnsi"/>
                <w:color w:val="000000"/>
              </w:rPr>
            </w:pPr>
            <w:r w:rsidRPr="00011E51">
              <w:rPr>
                <w:rFonts w:cstheme="minorHAnsi"/>
                <w:color w:val="000000"/>
              </w:rPr>
              <w:t>614.888.750</w:t>
            </w:r>
          </w:p>
        </w:tc>
      </w:tr>
    </w:tbl>
    <w:p w:rsidR="00501781" w:rsidRPr="00207D30" w:rsidRDefault="00CE7503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207D30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60716F" w:rsidRPr="009C3D5A" w:rsidRDefault="0060716F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913A90" w:rsidRPr="00AB4023" w:rsidRDefault="008D17ED" w:rsidP="00AB4023">
      <w:pPr>
        <w:jc w:val="both"/>
      </w:pPr>
      <w:r>
        <w:t xml:space="preserve">Türkiye, </w:t>
      </w:r>
      <w:r w:rsidR="00CC376F" w:rsidRPr="009C3D5A">
        <w:t>201</w:t>
      </w:r>
      <w:r w:rsidR="00CA6A1E">
        <w:t>8</w:t>
      </w:r>
      <w:r w:rsidR="00CC376F" w:rsidRPr="009C3D5A">
        <w:t xml:space="preserve"> </w:t>
      </w:r>
      <w:r w:rsidR="00011E51">
        <w:t>Mart</w:t>
      </w:r>
      <w:r w:rsidR="00587E0B">
        <w:t xml:space="preserve"> </w:t>
      </w:r>
      <w:r>
        <w:t>ayında</w:t>
      </w:r>
      <w:r w:rsidR="00955246" w:rsidRPr="009C3D5A">
        <w:t xml:space="preserve"> en fazla ihracatı</w:t>
      </w:r>
      <w:r w:rsidR="00501781">
        <w:t xml:space="preserve"> Almanya’ya yapmıştır. 1</w:t>
      </w:r>
      <w:r w:rsidR="00011E51">
        <w:t>,51</w:t>
      </w:r>
      <w:r w:rsidR="00CC376F" w:rsidRPr="009C3D5A">
        <w:t xml:space="preserve"> milyar dolarlık ihracat</w:t>
      </w:r>
      <w:r w:rsidR="00955246" w:rsidRPr="009C3D5A">
        <w:t xml:space="preserve"> ile </w:t>
      </w:r>
      <w:r w:rsidR="00CC376F" w:rsidRPr="009C3D5A">
        <w:t>Almanya</w:t>
      </w:r>
      <w:r w:rsidR="00955246" w:rsidRPr="009C3D5A">
        <w:t xml:space="preserve"> birinci sırada yer alırken</w:t>
      </w:r>
      <w:r w:rsidR="006D5432" w:rsidRPr="009C3D5A">
        <w:t xml:space="preserve"> Almanya’yı</w:t>
      </w:r>
      <w:r w:rsidR="00955246" w:rsidRPr="009C3D5A">
        <w:t xml:space="preserve"> sırası ile</w:t>
      </w:r>
      <w:r w:rsidR="006E7CD2" w:rsidRPr="009C3D5A">
        <w:t xml:space="preserve"> </w:t>
      </w:r>
      <w:r w:rsidR="00011E51">
        <w:t xml:space="preserve">1,05 milyar </w:t>
      </w:r>
      <w:r w:rsidR="006E7CD2" w:rsidRPr="009C3D5A">
        <w:t>dolar ile</w:t>
      </w:r>
      <w:r w:rsidR="006006DA">
        <w:t xml:space="preserve"> </w:t>
      </w:r>
      <w:r w:rsidR="00F53242">
        <w:t>İ</w:t>
      </w:r>
      <w:r w:rsidR="00011E51">
        <w:t>ngiltere</w:t>
      </w:r>
      <w:r w:rsidR="00955246" w:rsidRPr="009C3D5A">
        <w:t xml:space="preserve">, </w:t>
      </w:r>
      <w:r w:rsidR="00011E51">
        <w:t>961,1</w:t>
      </w:r>
      <w:r w:rsidR="006E7CD2" w:rsidRPr="009C3D5A">
        <w:t xml:space="preserve"> </w:t>
      </w:r>
      <w:r w:rsidR="00501781">
        <w:t>milyon</w:t>
      </w:r>
      <w:r w:rsidR="006E7CD2" w:rsidRPr="009C3D5A">
        <w:t xml:space="preserve"> dolar ile </w:t>
      </w:r>
      <w:r w:rsidR="00587E0B">
        <w:t>İ</w:t>
      </w:r>
      <w:r w:rsidR="00011E51">
        <w:t>talya</w:t>
      </w:r>
      <w:r w:rsidR="00955246" w:rsidRPr="009C3D5A">
        <w:t xml:space="preserve"> ve</w:t>
      </w:r>
      <w:r w:rsidR="006E7CD2" w:rsidRPr="009C3D5A">
        <w:t xml:space="preserve"> </w:t>
      </w:r>
      <w:r w:rsidR="00011E51">
        <w:t>738,3</w:t>
      </w:r>
      <w:r w:rsidR="00501781">
        <w:t xml:space="preserve"> milyon</w:t>
      </w:r>
      <w:r w:rsidR="006E7CD2" w:rsidRPr="009C3D5A">
        <w:t xml:space="preserve"> dolar ile</w:t>
      </w:r>
      <w:r w:rsidR="009E6845">
        <w:t xml:space="preserve"> </w:t>
      </w:r>
      <w:r w:rsidR="00011E51">
        <w:t>Irak</w:t>
      </w:r>
      <w:r w:rsidR="00F53242">
        <w:t xml:space="preserve"> </w:t>
      </w:r>
      <w:r w:rsidR="00955246" w:rsidRPr="009C3D5A">
        <w:t>takip etmektedir. İth</w:t>
      </w:r>
      <w:r w:rsidR="00587E0B">
        <w:t>alatta i</w:t>
      </w:r>
      <w:r w:rsidR="006006DA">
        <w:t xml:space="preserve">se </w:t>
      </w:r>
      <w:r w:rsidR="00011E51">
        <w:t>Rusya</w:t>
      </w:r>
      <w:r w:rsidR="006006DA">
        <w:t xml:space="preserve"> lider konumdadır.</w:t>
      </w:r>
      <w:r w:rsidR="00CA6A1E">
        <w:t xml:space="preserve"> Türkiye’nin 2018</w:t>
      </w:r>
      <w:r w:rsidR="006D5432" w:rsidRPr="009C3D5A">
        <w:t xml:space="preserve"> </w:t>
      </w:r>
      <w:r w:rsidR="00011E51">
        <w:t>Mart</w:t>
      </w:r>
      <w:r w:rsidR="00955246" w:rsidRPr="009C3D5A">
        <w:t xml:space="preserve"> </w:t>
      </w:r>
      <w:r w:rsidR="00587E0B">
        <w:t xml:space="preserve">ayında </w:t>
      </w:r>
      <w:r w:rsidR="00011E51">
        <w:t xml:space="preserve">Rusya’dan </w:t>
      </w:r>
      <w:r w:rsidR="00955246" w:rsidRPr="009C3D5A">
        <w:t xml:space="preserve">yaptığı ithalat </w:t>
      </w:r>
      <w:r w:rsidR="00011E51">
        <w:t>2,2</w:t>
      </w:r>
      <w:r w:rsidR="00955246" w:rsidRPr="009C3D5A">
        <w:t xml:space="preserve"> milyar dolar olup </w:t>
      </w:r>
      <w:r w:rsidR="00011E51">
        <w:t>Rusya’yı</w:t>
      </w:r>
      <w:r w:rsidR="00955246" w:rsidRPr="009C3D5A">
        <w:t xml:space="preserve"> sırası ile </w:t>
      </w:r>
      <w:r w:rsidR="00011E51">
        <w:t>2</w:t>
      </w:r>
      <w:r w:rsidR="006D5432" w:rsidRPr="009C3D5A">
        <w:t>,</w:t>
      </w:r>
      <w:r w:rsidR="00011E51">
        <w:t>0</w:t>
      </w:r>
      <w:r w:rsidR="00714CDE">
        <w:t>1</w:t>
      </w:r>
      <w:r w:rsidR="003D0EA9" w:rsidRPr="009C3D5A">
        <w:t xml:space="preserve"> milyar dolar ile </w:t>
      </w:r>
      <w:r w:rsidR="00011E51">
        <w:t>Almanya</w:t>
      </w:r>
      <w:r w:rsidR="00955246" w:rsidRPr="009C3D5A">
        <w:t xml:space="preserve">, </w:t>
      </w:r>
      <w:r w:rsidR="00011E51">
        <w:t>2</w:t>
      </w:r>
      <w:r w:rsidR="003D0EA9" w:rsidRPr="009C3D5A">
        <w:t xml:space="preserve"> milyar dolar ile </w:t>
      </w:r>
      <w:r w:rsidR="00011E51">
        <w:t xml:space="preserve">Çin </w:t>
      </w:r>
      <w:r w:rsidR="00E50701">
        <w:t xml:space="preserve">ve </w:t>
      </w:r>
      <w:r w:rsidR="00011E51">
        <w:t>1</w:t>
      </w:r>
      <w:r w:rsidR="00DA7CF5">
        <w:t xml:space="preserve"> milyar</w:t>
      </w:r>
      <w:r w:rsidR="003D0EA9" w:rsidRPr="009C3D5A">
        <w:t xml:space="preserve"> dolar ile </w:t>
      </w:r>
      <w:r w:rsidR="00011E51">
        <w:t>İngiltere</w:t>
      </w:r>
      <w:r w:rsidR="00F53242">
        <w:t xml:space="preserve"> </w:t>
      </w:r>
      <w:r w:rsidR="00955246" w:rsidRPr="009C3D5A">
        <w:t xml:space="preserve">takip etmektedir. </w:t>
      </w:r>
    </w:p>
    <w:p w:rsidR="00314CD6" w:rsidRDefault="00D074EA" w:rsidP="00314CD6">
      <w:pPr>
        <w:spacing w:after="0" w:line="240" w:lineRule="auto"/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4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:</w:t>
      </w:r>
      <w:r w:rsidR="00284EE7" w:rsidRPr="00284EE7">
        <w:t xml:space="preserve"> </w:t>
      </w:r>
      <w:r w:rsidR="00284EE7">
        <w:rPr>
          <w:rFonts w:eastAsia="Times New Roman" w:cs="Times New Roman"/>
          <w:b/>
          <w:bCs/>
          <w:kern w:val="36"/>
          <w:sz w:val="24"/>
          <w:szCs w:val="24"/>
        </w:rPr>
        <w:t xml:space="preserve">SITC Rev3 sınıflamasına göre </w:t>
      </w:r>
      <w:r w:rsidR="00207511">
        <w:rPr>
          <w:rFonts w:eastAsia="Times New Roman" w:cs="Times New Roman"/>
          <w:b/>
          <w:bCs/>
          <w:kern w:val="36"/>
          <w:sz w:val="24"/>
          <w:szCs w:val="24"/>
        </w:rPr>
        <w:t>dış ticaret, $  (201</w:t>
      </w:r>
      <w:r w:rsidR="008974F5">
        <w:rPr>
          <w:rFonts w:eastAsia="Times New Roman" w:cs="Times New Roman"/>
          <w:b/>
          <w:bCs/>
          <w:kern w:val="36"/>
          <w:sz w:val="24"/>
          <w:szCs w:val="24"/>
        </w:rPr>
        <w:t>8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2109CE">
        <w:rPr>
          <w:rFonts w:eastAsia="Times New Roman" w:cs="Times New Roman"/>
          <w:b/>
          <w:bCs/>
          <w:kern w:val="36"/>
          <w:sz w:val="24"/>
          <w:szCs w:val="24"/>
        </w:rPr>
        <w:t>Mart</w:t>
      </w:r>
      <w:r w:rsidR="00E57C88">
        <w:rPr>
          <w:rFonts w:eastAsia="Times New Roman" w:cs="Times New Roman"/>
          <w:b/>
          <w:bCs/>
          <w:kern w:val="36"/>
          <w:sz w:val="24"/>
          <w:szCs w:val="24"/>
        </w:rPr>
        <w:t>)</w:t>
      </w:r>
      <w:r w:rsidR="00314CD6">
        <w:t xml:space="preserve"> </w:t>
      </w:r>
    </w:p>
    <w:tbl>
      <w:tblPr>
        <w:tblW w:w="97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562"/>
        <w:gridCol w:w="7190"/>
        <w:gridCol w:w="1511"/>
      </w:tblGrid>
      <w:tr w:rsidR="002109CE" w:rsidRPr="00E57C88" w:rsidTr="00F573E5">
        <w:trPr>
          <w:trHeight w:val="160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2109CE" w:rsidRPr="00E57C88" w:rsidRDefault="002109CE" w:rsidP="00F57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2109CE" w:rsidRPr="00E57C88" w:rsidRDefault="002109CE" w:rsidP="00F57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2109CE" w:rsidRPr="00E57C88" w:rsidRDefault="002109CE" w:rsidP="00F57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 adı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2109CE" w:rsidRPr="00E57C88" w:rsidRDefault="002109CE" w:rsidP="00210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İ</w:t>
            </w: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h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r</w:t>
            </w:r>
            <w:r w:rsidR="00800962">
              <w:rPr>
                <w:rFonts w:ascii="Calibri" w:eastAsia="Times New Roman" w:hAnsi="Calibri" w:cs="Calibri"/>
                <w:b/>
                <w:bCs/>
                <w:color w:val="FFFFFF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cat</w:t>
            </w: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Dolar</w:t>
            </w:r>
          </w:p>
        </w:tc>
      </w:tr>
      <w:tr w:rsidR="002109CE" w:rsidRPr="00E57C88" w:rsidTr="00E565D0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109CE" w:rsidRPr="00E57C88" w:rsidRDefault="002109CE" w:rsidP="00F57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Motorlu kara taşıtları, bisiklet ver motosikletler, bunların aksam ve parçası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jc w:val="center"/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2.622.387.490</w:t>
            </w:r>
          </w:p>
        </w:tc>
      </w:tr>
      <w:tr w:rsidR="002109CE" w:rsidRPr="00E57C88" w:rsidTr="00E565D0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109CE" w:rsidRPr="00E57C88" w:rsidRDefault="002109CE" w:rsidP="00F57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Giyim eşyası ve bunların aksesuarları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jc w:val="center"/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1.497.256.690</w:t>
            </w:r>
          </w:p>
        </w:tc>
      </w:tr>
      <w:tr w:rsidR="002109CE" w:rsidRPr="00E57C88" w:rsidTr="00E565D0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109CE" w:rsidRPr="00E57C88" w:rsidRDefault="002109CE" w:rsidP="00F57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proofErr w:type="spellStart"/>
            <w:r w:rsidRPr="002109CE">
              <w:rPr>
                <w:rFonts w:cstheme="minorHAnsi"/>
                <w:color w:val="000000"/>
              </w:rPr>
              <w:t>Teksitil</w:t>
            </w:r>
            <w:proofErr w:type="spellEnd"/>
            <w:r w:rsidRPr="002109CE">
              <w:rPr>
                <w:rFonts w:cstheme="minorHAnsi"/>
                <w:color w:val="000000"/>
              </w:rPr>
              <w:t xml:space="preserve"> ürünleri (iplik, kumaş, yer kaplamaları, hazır eşya)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jc w:val="center"/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1.130.737.115</w:t>
            </w:r>
          </w:p>
        </w:tc>
      </w:tr>
      <w:tr w:rsidR="002109CE" w:rsidRPr="00E57C88" w:rsidTr="00E565D0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109CE" w:rsidRPr="00E57C88" w:rsidRDefault="002109CE" w:rsidP="00F57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Demir ve çelik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jc w:val="center"/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1.124.088.204</w:t>
            </w:r>
          </w:p>
        </w:tc>
      </w:tr>
      <w:tr w:rsidR="002109CE" w:rsidRPr="00E57C88" w:rsidTr="00E565D0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109CE" w:rsidRPr="00E57C88" w:rsidRDefault="002109CE" w:rsidP="00F57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 xml:space="preserve">Elektrik </w:t>
            </w:r>
            <w:proofErr w:type="spellStart"/>
            <w:proofErr w:type="gramStart"/>
            <w:r w:rsidRPr="002109CE">
              <w:rPr>
                <w:rFonts w:cstheme="minorHAnsi"/>
                <w:color w:val="000000"/>
              </w:rPr>
              <w:t>makinaları,cihazları</w:t>
            </w:r>
            <w:proofErr w:type="spellEnd"/>
            <w:proofErr w:type="gramEnd"/>
            <w:r w:rsidRPr="002109CE">
              <w:rPr>
                <w:rFonts w:cstheme="minorHAnsi"/>
                <w:color w:val="000000"/>
              </w:rPr>
              <w:t xml:space="preserve"> ve aletleri, </w:t>
            </w:r>
            <w:proofErr w:type="spellStart"/>
            <w:r w:rsidRPr="002109CE">
              <w:rPr>
                <w:rFonts w:cstheme="minorHAnsi"/>
                <w:color w:val="000000"/>
              </w:rPr>
              <w:t>vb.aksam,parçaları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jc w:val="center"/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871.941.869</w:t>
            </w:r>
          </w:p>
        </w:tc>
      </w:tr>
      <w:tr w:rsidR="002109CE" w:rsidRPr="00E57C88" w:rsidTr="00E565D0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109CE" w:rsidRPr="00E57C88" w:rsidRDefault="002109CE" w:rsidP="00F57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 xml:space="preserve">Başka yerde belirtilmeyen çeşitli </w:t>
            </w:r>
            <w:proofErr w:type="spellStart"/>
            <w:r w:rsidRPr="002109CE">
              <w:rPr>
                <w:rFonts w:cstheme="minorHAnsi"/>
                <w:color w:val="000000"/>
              </w:rPr>
              <w:t>mamül</w:t>
            </w:r>
            <w:proofErr w:type="spellEnd"/>
            <w:r w:rsidRPr="002109CE">
              <w:rPr>
                <w:rFonts w:cstheme="minorHAnsi"/>
                <w:color w:val="000000"/>
              </w:rPr>
              <w:t xml:space="preserve"> eşyalar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jc w:val="center"/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744.274.941</w:t>
            </w:r>
          </w:p>
        </w:tc>
      </w:tr>
      <w:tr w:rsidR="002109CE" w:rsidRPr="00E57C88" w:rsidTr="00E565D0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109CE" w:rsidRPr="00E57C88" w:rsidRDefault="002109CE" w:rsidP="00F57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 xml:space="preserve">Demir, çelik, bakır, nikel, </w:t>
            </w:r>
            <w:proofErr w:type="spellStart"/>
            <w:r w:rsidRPr="002109CE">
              <w:rPr>
                <w:rFonts w:cstheme="minorHAnsi"/>
                <w:color w:val="000000"/>
              </w:rPr>
              <w:t>aluminyum</w:t>
            </w:r>
            <w:proofErr w:type="spellEnd"/>
            <w:r w:rsidRPr="002109CE">
              <w:rPr>
                <w:rFonts w:cstheme="minorHAnsi"/>
                <w:color w:val="000000"/>
              </w:rPr>
              <w:t xml:space="preserve"> ve diğer adi metallerden eşya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jc w:val="center"/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629.701.478</w:t>
            </w:r>
          </w:p>
        </w:tc>
      </w:tr>
      <w:tr w:rsidR="002109CE" w:rsidRPr="00E57C88" w:rsidTr="00E565D0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109CE" w:rsidRPr="00E57C88" w:rsidRDefault="002109CE" w:rsidP="00F57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Meyve ve sebzeler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jc w:val="center"/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596.467.705</w:t>
            </w:r>
          </w:p>
        </w:tc>
      </w:tr>
      <w:tr w:rsidR="002109CE" w:rsidRPr="00E57C88" w:rsidTr="00E565D0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109CE" w:rsidRPr="00E57C88" w:rsidRDefault="002109CE" w:rsidP="00F57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Diğer genel endüstri makina/cihazların aksamları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jc w:val="center"/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479.307.467</w:t>
            </w:r>
          </w:p>
        </w:tc>
      </w:tr>
      <w:tr w:rsidR="002109CE" w:rsidRPr="00E57C88" w:rsidTr="00E565D0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109CE" w:rsidRPr="00E57C88" w:rsidRDefault="002109CE" w:rsidP="00F57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Taş, alçı, çimento, amyant, cam, seramik vb. maddeden eşya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jc w:val="center"/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340.295.567</w:t>
            </w:r>
          </w:p>
        </w:tc>
      </w:tr>
    </w:tbl>
    <w:p w:rsidR="002109CE" w:rsidRDefault="002109CE" w:rsidP="00314CD6">
      <w:pPr>
        <w:spacing w:after="0" w:line="240" w:lineRule="auto"/>
      </w:pPr>
    </w:p>
    <w:p w:rsidR="00D074EA" w:rsidRDefault="00D074EA" w:rsidP="00B61CAE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tbl>
      <w:tblPr>
        <w:tblW w:w="97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562"/>
        <w:gridCol w:w="7190"/>
        <w:gridCol w:w="1511"/>
      </w:tblGrid>
      <w:tr w:rsidR="00E57C88" w:rsidRPr="00E57C88" w:rsidTr="00AB4023">
        <w:trPr>
          <w:trHeight w:val="160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 adı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İthalat Dolar</w:t>
            </w:r>
          </w:p>
        </w:tc>
      </w:tr>
      <w:tr w:rsidR="002109CE" w:rsidRPr="00E57C88" w:rsidTr="00C96460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109CE" w:rsidRPr="00E57C88" w:rsidRDefault="002109CE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Gizli veri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jc w:val="center"/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1.751.725.480</w:t>
            </w:r>
          </w:p>
        </w:tc>
      </w:tr>
      <w:tr w:rsidR="002109CE" w:rsidRPr="00E57C88" w:rsidTr="00C96460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109CE" w:rsidRPr="00E57C88" w:rsidRDefault="002109CE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Motorlu kara taşıtları, bisiklet ver motosikletler, bunların aksam ve parçası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jc w:val="center"/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1.596.113.046</w:t>
            </w:r>
          </w:p>
        </w:tc>
      </w:tr>
      <w:tr w:rsidR="002109CE" w:rsidRPr="00E57C88" w:rsidTr="00C96460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109CE" w:rsidRPr="00E57C88" w:rsidRDefault="002109CE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Altın,</w:t>
            </w:r>
            <w:r>
              <w:rPr>
                <w:rFonts w:cstheme="minorHAnsi"/>
                <w:color w:val="000000"/>
              </w:rPr>
              <w:t xml:space="preserve"> </w:t>
            </w:r>
            <w:r w:rsidRPr="002109CE">
              <w:rPr>
                <w:rFonts w:cstheme="minorHAnsi"/>
                <w:color w:val="000000"/>
              </w:rPr>
              <w:t xml:space="preserve">parasal olmayan (altın madeni ve </w:t>
            </w:r>
            <w:proofErr w:type="gramStart"/>
            <w:r w:rsidRPr="002109CE">
              <w:rPr>
                <w:rFonts w:cstheme="minorHAnsi"/>
                <w:color w:val="000000"/>
              </w:rPr>
              <w:t>konsantreleri</w:t>
            </w:r>
            <w:proofErr w:type="gramEnd"/>
            <w:r w:rsidRPr="002109CE">
              <w:rPr>
                <w:rFonts w:cstheme="minorHAnsi"/>
                <w:color w:val="000000"/>
              </w:rPr>
              <w:t xml:space="preserve"> hariç)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jc w:val="center"/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1.486.281.841</w:t>
            </w:r>
          </w:p>
        </w:tc>
      </w:tr>
      <w:tr w:rsidR="002109CE" w:rsidRPr="00E57C88" w:rsidTr="00C96460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109CE" w:rsidRPr="00E57C88" w:rsidRDefault="002109CE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Demir ve çelik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jc w:val="center"/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1.209.166.745</w:t>
            </w:r>
          </w:p>
        </w:tc>
      </w:tr>
      <w:tr w:rsidR="002109CE" w:rsidRPr="00E57C88" w:rsidTr="00C96460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109CE" w:rsidRPr="00E57C88" w:rsidRDefault="002109CE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Petrol, petrolden elde edilen ürünler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jc w:val="center"/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1.170.565.751</w:t>
            </w:r>
          </w:p>
        </w:tc>
      </w:tr>
      <w:tr w:rsidR="002109CE" w:rsidRPr="00E57C88" w:rsidTr="00C96460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109CE" w:rsidRPr="00E57C88" w:rsidRDefault="002109CE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İlk şekillerde plastikler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jc w:val="center"/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1.025.950.430</w:t>
            </w:r>
          </w:p>
        </w:tc>
      </w:tr>
      <w:tr w:rsidR="002109CE" w:rsidRPr="00E57C88" w:rsidTr="00C96460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109CE" w:rsidRPr="00E57C88" w:rsidRDefault="002109CE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Elektrik makinaları,</w:t>
            </w:r>
            <w:r>
              <w:rPr>
                <w:rFonts w:cstheme="minorHAnsi"/>
                <w:color w:val="000000"/>
              </w:rPr>
              <w:t xml:space="preserve"> </w:t>
            </w:r>
            <w:r w:rsidRPr="002109CE">
              <w:rPr>
                <w:rFonts w:cstheme="minorHAnsi"/>
                <w:color w:val="000000"/>
              </w:rPr>
              <w:t>cihazları ve aletleri, vb.</w:t>
            </w:r>
            <w:r>
              <w:rPr>
                <w:rFonts w:cstheme="minorHAnsi"/>
                <w:color w:val="000000"/>
              </w:rPr>
              <w:t xml:space="preserve"> </w:t>
            </w:r>
            <w:r w:rsidRPr="002109CE">
              <w:rPr>
                <w:rFonts w:cstheme="minorHAnsi"/>
                <w:color w:val="000000"/>
              </w:rPr>
              <w:t>aksam,</w:t>
            </w:r>
            <w:r>
              <w:rPr>
                <w:rFonts w:cstheme="minorHAnsi"/>
                <w:color w:val="000000"/>
              </w:rPr>
              <w:t xml:space="preserve"> </w:t>
            </w:r>
            <w:r w:rsidRPr="002109CE">
              <w:rPr>
                <w:rFonts w:cstheme="minorHAnsi"/>
                <w:color w:val="000000"/>
              </w:rPr>
              <w:t>parçaları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jc w:val="center"/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964.879.526</w:t>
            </w:r>
          </w:p>
        </w:tc>
      </w:tr>
      <w:tr w:rsidR="002109CE" w:rsidRPr="00E57C88" w:rsidTr="00C96460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109CE" w:rsidRPr="00E57C88" w:rsidRDefault="002109CE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Diğer genel endüstri makina/cihazların aksamları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jc w:val="center"/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955.096.944</w:t>
            </w:r>
          </w:p>
        </w:tc>
      </w:tr>
      <w:tr w:rsidR="002109CE" w:rsidRPr="00E57C88" w:rsidTr="00C96460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109CE" w:rsidRPr="00E57C88" w:rsidRDefault="002109CE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Metal cevherleri, döküntüleri, hurdaları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jc w:val="center"/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809.710.433</w:t>
            </w:r>
          </w:p>
        </w:tc>
      </w:tr>
      <w:tr w:rsidR="002109CE" w:rsidRPr="00E57C88" w:rsidTr="00C96460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2109CE" w:rsidRPr="00E57C88" w:rsidRDefault="002109CE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Demir ihtiva etmeyen madenler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E" w:rsidRPr="002109CE" w:rsidRDefault="002109CE">
            <w:pPr>
              <w:jc w:val="center"/>
              <w:rPr>
                <w:rFonts w:cstheme="minorHAnsi"/>
                <w:color w:val="000000"/>
              </w:rPr>
            </w:pPr>
            <w:r w:rsidRPr="002109CE">
              <w:rPr>
                <w:rFonts w:cstheme="minorHAnsi"/>
                <w:color w:val="000000"/>
              </w:rPr>
              <w:t>788.724.708</w:t>
            </w:r>
          </w:p>
        </w:tc>
      </w:tr>
    </w:tbl>
    <w:p w:rsidR="00C56530" w:rsidRPr="00207D30" w:rsidRDefault="00C56530" w:rsidP="00C56530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207D30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5123EB" w:rsidRPr="00AB4023" w:rsidRDefault="00C56530" w:rsidP="005123EB">
      <w:pPr>
        <w:jc w:val="both"/>
      </w:pPr>
      <w:r>
        <w:br/>
      </w:r>
      <w:r w:rsidR="00D074EA" w:rsidRPr="009C3D5A">
        <w:t>Se</w:t>
      </w:r>
      <w:r w:rsidR="006306C8">
        <w:t>ktörel ihracatta</w:t>
      </w:r>
      <w:r w:rsidR="00D074EA">
        <w:t>, 201</w:t>
      </w:r>
      <w:r w:rsidR="00DA63E7">
        <w:t>8</w:t>
      </w:r>
      <w:r w:rsidR="00D074EA" w:rsidRPr="009C3D5A">
        <w:t xml:space="preserve"> </w:t>
      </w:r>
      <w:r w:rsidR="002109CE">
        <w:t>Mart</w:t>
      </w:r>
      <w:r w:rsidR="005123EB">
        <w:t xml:space="preserve"> </w:t>
      </w:r>
      <w:r w:rsidR="00801235">
        <w:t xml:space="preserve">ayında </w:t>
      </w:r>
      <w:r w:rsidR="002109CE">
        <w:t>2,62</w:t>
      </w:r>
      <w:r w:rsidR="006306C8">
        <w:t xml:space="preserve"> milyar dolar ile </w:t>
      </w:r>
      <w:r w:rsidR="00F727B6">
        <w:t>m</w:t>
      </w:r>
      <w:r w:rsidR="00F727B6" w:rsidRPr="009E6645">
        <w:t>oto</w:t>
      </w:r>
      <w:r w:rsidR="00F727B6">
        <w:t>rlu kara taşıtları, bisiklet ve</w:t>
      </w:r>
      <w:r w:rsidR="00F727B6" w:rsidRPr="009E6645">
        <w:t xml:space="preserve"> motosikletler, bunların aksam ve parçası</w:t>
      </w:r>
      <w:r w:rsidR="00F727B6">
        <w:t xml:space="preserve"> </w:t>
      </w:r>
      <w:r w:rsidR="006306C8">
        <w:t>lider konumdadır.</w:t>
      </w:r>
      <w:r w:rsidR="00D074EA" w:rsidRPr="009C3D5A">
        <w:t xml:space="preserve"> Sektörü </w:t>
      </w:r>
      <w:r w:rsidR="006306C8">
        <w:t>1,</w:t>
      </w:r>
      <w:r w:rsidR="002109CE">
        <w:t>50</w:t>
      </w:r>
      <w:r w:rsidR="00D074EA" w:rsidRPr="009C3D5A">
        <w:t xml:space="preserve"> milyar dolar ile </w:t>
      </w:r>
      <w:r w:rsidR="00F727B6">
        <w:t>g</w:t>
      </w:r>
      <w:r w:rsidR="00F727B6" w:rsidRPr="009E6645">
        <w:t>iyim eşyası ve bunların aksesuarları</w:t>
      </w:r>
      <w:r w:rsidR="006306C8" w:rsidRPr="009E6645">
        <w:t xml:space="preserve"> </w:t>
      </w:r>
      <w:r w:rsidR="006306C8" w:rsidRPr="009C3D5A">
        <w:t>ihracatı</w:t>
      </w:r>
      <w:r w:rsidR="00D074EA">
        <w:t xml:space="preserve"> </w:t>
      </w:r>
      <w:r w:rsidR="00D074EA" w:rsidRPr="009C3D5A">
        <w:t xml:space="preserve">ve </w:t>
      </w:r>
      <w:r w:rsidR="002109CE">
        <w:t xml:space="preserve">1,13 milyar dolar </w:t>
      </w:r>
      <w:r w:rsidR="00D074EA" w:rsidRPr="009C3D5A">
        <w:t xml:space="preserve">ile </w:t>
      </w:r>
      <w:r w:rsidR="006306C8">
        <w:t>t</w:t>
      </w:r>
      <w:r w:rsidR="00F727B6">
        <w:t>eks</w:t>
      </w:r>
      <w:r w:rsidR="006306C8" w:rsidRPr="006306C8">
        <w:t>til ürünleri (iplik, kumaş, yer kaplamaları, hazır eşya)</w:t>
      </w:r>
      <w:r>
        <w:t xml:space="preserve"> </w:t>
      </w:r>
      <w:r w:rsidR="00D074EA" w:rsidRPr="009C3D5A">
        <w:t xml:space="preserve">ihracatı takip etmektedir. İthalatta ise </w:t>
      </w:r>
      <w:r w:rsidR="00AB4023">
        <w:t>ilk sırayı 1,</w:t>
      </w:r>
      <w:r w:rsidR="002109CE">
        <w:t>75</w:t>
      </w:r>
      <w:r w:rsidR="005123EB">
        <w:t xml:space="preserve"> milyar dolarlık ithalat ile </w:t>
      </w:r>
      <w:r w:rsidR="00AB4023" w:rsidRPr="002117E9">
        <w:t>aç</w:t>
      </w:r>
      <w:r w:rsidR="00AB4023">
        <w:t>ıklanmayan (Gizli veri) ürünler</w:t>
      </w:r>
      <w:r w:rsidR="005123EB">
        <w:t xml:space="preserve"> alırken, </w:t>
      </w:r>
      <w:r w:rsidR="00AB4023">
        <w:t>onu 1</w:t>
      </w:r>
      <w:r w:rsidR="00801235">
        <w:t>,</w:t>
      </w:r>
      <w:r w:rsidR="002109CE">
        <w:t>60</w:t>
      </w:r>
      <w:r w:rsidR="00801235">
        <w:t xml:space="preserve"> milyar dolar ile </w:t>
      </w:r>
      <w:r w:rsidR="00AB4023">
        <w:t>m</w:t>
      </w:r>
      <w:r w:rsidR="00AB4023" w:rsidRPr="009E6645">
        <w:t>oto</w:t>
      </w:r>
      <w:r w:rsidR="00AB4023">
        <w:t>rlu kara taşıtları, bisiklet ve</w:t>
      </w:r>
      <w:r w:rsidR="00AB4023" w:rsidRPr="009E6645">
        <w:t xml:space="preserve"> motosikletler, bunların aksam ve parçası</w:t>
      </w:r>
      <w:r w:rsidR="00AB4023">
        <w:t xml:space="preserve"> </w:t>
      </w:r>
      <w:r w:rsidR="005123EB">
        <w:t>ve 1,</w:t>
      </w:r>
      <w:r w:rsidR="002109CE">
        <w:t>49</w:t>
      </w:r>
      <w:r w:rsidR="00801235">
        <w:t xml:space="preserve"> milyar dolarlık ithalatı ile </w:t>
      </w:r>
      <w:r w:rsidR="00AB4023">
        <w:t>a</w:t>
      </w:r>
      <w:r w:rsidR="00AB4023" w:rsidRPr="00AB4023">
        <w:t xml:space="preserve">ltın, parasal olmayan (altın madeni ve </w:t>
      </w:r>
      <w:proofErr w:type="gramStart"/>
      <w:r w:rsidR="00AB4023" w:rsidRPr="00AB4023">
        <w:t>konsantreleri</w:t>
      </w:r>
      <w:proofErr w:type="gramEnd"/>
      <w:r w:rsidR="00AB4023" w:rsidRPr="00AB4023">
        <w:t xml:space="preserve"> hariç)</w:t>
      </w:r>
      <w:r w:rsidR="005123EB" w:rsidRPr="00AB4023">
        <w:t xml:space="preserve"> takip etmektedir.</w:t>
      </w:r>
    </w:p>
    <w:p w:rsidR="00207D30" w:rsidRPr="00207D30" w:rsidRDefault="00207D30" w:rsidP="005123EB">
      <w:pPr>
        <w:jc w:val="both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5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:</w:t>
      </w:r>
      <w:r w:rsidRPr="00284EE7">
        <w:t xml:space="preserve">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İmalat sanayi ürünleri için teknoloji yoğunluğu, mily</w:t>
      </w:r>
      <w:r w:rsidR="00D864BD">
        <w:rPr>
          <w:rFonts w:eastAsia="Times New Roman" w:cs="Times New Roman"/>
          <w:b/>
          <w:bCs/>
          <w:kern w:val="36"/>
          <w:sz w:val="24"/>
          <w:szCs w:val="24"/>
        </w:rPr>
        <w:t>ar</w:t>
      </w: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 $</w:t>
      </w:r>
      <w:r w:rsidR="00293278">
        <w:rPr>
          <w:rFonts w:eastAsia="Times New Roman" w:cs="Times New Roman"/>
          <w:b/>
          <w:bCs/>
          <w:kern w:val="36"/>
          <w:sz w:val="24"/>
          <w:szCs w:val="24"/>
        </w:rPr>
        <w:t>, %</w:t>
      </w:r>
      <w:r w:rsidR="008974F5">
        <w:rPr>
          <w:rFonts w:eastAsia="Times New Roman" w:cs="Times New Roman"/>
          <w:b/>
          <w:bCs/>
          <w:kern w:val="36"/>
          <w:sz w:val="24"/>
          <w:szCs w:val="24"/>
        </w:rPr>
        <w:t xml:space="preserve">  (2018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2109CE">
        <w:rPr>
          <w:rFonts w:eastAsia="Times New Roman" w:cs="Times New Roman"/>
          <w:b/>
          <w:bCs/>
          <w:kern w:val="36"/>
          <w:sz w:val="24"/>
          <w:szCs w:val="24"/>
        </w:rPr>
        <w:t>Mart</w:t>
      </w:r>
      <w:r w:rsidR="005C1EC6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tbl>
      <w:tblPr>
        <w:tblW w:w="5402" w:type="dxa"/>
        <w:tblInd w:w="93" w:type="dxa"/>
        <w:tblLook w:val="04A0" w:firstRow="1" w:lastRow="0" w:firstColumn="1" w:lastColumn="0" w:noHBand="0" w:noVBand="1"/>
      </w:tblPr>
      <w:tblGrid>
        <w:gridCol w:w="2425"/>
        <w:gridCol w:w="1559"/>
        <w:gridCol w:w="1418"/>
      </w:tblGrid>
      <w:tr w:rsidR="008378AE" w:rsidRPr="008378AE" w:rsidTr="008378AE">
        <w:trPr>
          <w:trHeight w:val="259"/>
        </w:trPr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İhracat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Değer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Yüzde</w:t>
            </w:r>
            <w:proofErr w:type="spellEnd"/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imalat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sanayi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210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2109CE"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AB4023">
              <w:rPr>
                <w:rFonts w:ascii="Calibri" w:eastAsia="Times New Roman" w:hAnsi="Calibri" w:cs="Calibri"/>
                <w:color w:val="000000"/>
                <w:lang w:val="en-US" w:eastAsia="en-US"/>
              </w:rPr>
              <w:t>6</w:t>
            </w:r>
            <w:r w:rsidR="002109CE">
              <w:rPr>
                <w:rFonts w:ascii="Calibri" w:eastAsia="Times New Roman" w:hAnsi="Calibri" w:cs="Calibri"/>
                <w:color w:val="000000"/>
                <w:lang w:val="en-US"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100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2109C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2109CE" w:rsidP="00897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3,1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2109CE" w:rsidP="00210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2109C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33,9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2109CE" w:rsidP="00210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2109C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30,1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2109CE" w:rsidP="00210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2109C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32,9</w:t>
            </w:r>
          </w:p>
        </w:tc>
      </w:tr>
    </w:tbl>
    <w:p w:rsidR="00207D30" w:rsidRDefault="00207D30" w:rsidP="00B61CAE">
      <w:pPr>
        <w:spacing w:after="0" w:line="240" w:lineRule="auto"/>
        <w:rPr>
          <w:rFonts w:eastAsia="Times New Roman" w:cs="Times New Roman"/>
          <w:bCs/>
          <w:kern w:val="36"/>
        </w:rPr>
      </w:pPr>
    </w:p>
    <w:tbl>
      <w:tblPr>
        <w:tblW w:w="5402" w:type="dxa"/>
        <w:tblInd w:w="93" w:type="dxa"/>
        <w:tblLook w:val="04A0" w:firstRow="1" w:lastRow="0" w:firstColumn="1" w:lastColumn="0" w:noHBand="0" w:noVBand="1"/>
      </w:tblPr>
      <w:tblGrid>
        <w:gridCol w:w="2425"/>
        <w:gridCol w:w="1559"/>
        <w:gridCol w:w="1418"/>
      </w:tblGrid>
      <w:tr w:rsidR="008378AE" w:rsidRPr="008378AE" w:rsidTr="008378AE">
        <w:trPr>
          <w:trHeight w:val="219"/>
        </w:trPr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İthalat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Değer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Yüzde</w:t>
            </w:r>
            <w:proofErr w:type="spellEnd"/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imalat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sanayi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AB4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AB4023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 w:rsidR="0019086A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AB4023">
              <w:rPr>
                <w:rFonts w:ascii="Calibri" w:eastAsia="Times New Roman" w:hAnsi="Calibri" w:cs="Calibri"/>
                <w:color w:val="000000"/>
                <w:lang w:val="en-US"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100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AB4023" w:rsidP="007C4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7940E3" w:rsidP="00897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13,9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AB4023" w:rsidP="00AB4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7940E3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42,2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AB4023" w:rsidP="0019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="007C407A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8974F5">
              <w:rPr>
                <w:rFonts w:ascii="Calibri" w:eastAsia="Times New Roman" w:hAnsi="Calibri" w:cs="Calibri"/>
                <w:color w:val="000000"/>
                <w:lang w:val="en-US" w:eastAsia="en-US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7940E3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31,5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AB4023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7940E3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12,4</w:t>
            </w:r>
          </w:p>
        </w:tc>
      </w:tr>
    </w:tbl>
    <w:p w:rsidR="00207D30" w:rsidRDefault="00207D30" w:rsidP="00B61CAE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207D30" w:rsidRPr="00D074EA" w:rsidRDefault="00207D30" w:rsidP="00B61CAE">
      <w:pPr>
        <w:spacing w:after="0" w:line="240" w:lineRule="auto"/>
        <w:rPr>
          <w:rFonts w:eastAsia="Times New Roman" w:cs="Times New Roman"/>
          <w:bCs/>
          <w:kern w:val="36"/>
        </w:rPr>
      </w:pPr>
    </w:p>
    <w:p w:rsidR="00E27E57" w:rsidRPr="00DD6AA5" w:rsidRDefault="00C7379E" w:rsidP="00E27E57">
      <w:pPr>
        <w:jc w:val="both"/>
      </w:pPr>
      <w:r w:rsidRPr="009C3D5A">
        <w:t xml:space="preserve">Türkiye İstatistik Kurumu imalat sanayi ürünleri için teknoloji yoğunluğuna göre dış ticaret verilerini de açıklamaktadır. ISIC </w:t>
      </w:r>
      <w:r w:rsidR="00C1467F">
        <w:t>REV</w:t>
      </w:r>
      <w:r w:rsidRPr="009C3D5A">
        <w:t>.3 sınıflamasına göre</w:t>
      </w:r>
      <w:r w:rsidR="000048F7">
        <w:t xml:space="preserve"> 2018</w:t>
      </w:r>
      <w:r w:rsidRPr="009C3D5A">
        <w:t xml:space="preserve"> </w:t>
      </w:r>
      <w:r w:rsidR="007940E3">
        <w:t>Mart</w:t>
      </w:r>
      <w:r w:rsidR="007C155D" w:rsidRPr="009C3D5A">
        <w:t xml:space="preserve"> ayında </w:t>
      </w:r>
      <w:r w:rsidRPr="009C3D5A">
        <w:t xml:space="preserve">imalat sanayi ürünlerinin toplam </w:t>
      </w:r>
      <w:r w:rsidR="008378AE">
        <w:lastRenderedPageBreak/>
        <w:t>ihracatı içerisinde</w:t>
      </w:r>
      <w:r w:rsidRPr="009C3D5A">
        <w:t xml:space="preserve"> </w:t>
      </w:r>
      <w:r w:rsidR="00C1467F">
        <w:t>yüksek</w:t>
      </w:r>
      <w:r w:rsidRPr="009C3D5A">
        <w:t xml:space="preserve"> teknoloji</w:t>
      </w:r>
      <w:r w:rsidR="00C1467F">
        <w:t>li</w:t>
      </w:r>
      <w:r w:rsidR="008378AE">
        <w:t xml:space="preserve"> ürünlerin </w:t>
      </w:r>
      <w:r w:rsidR="00D471EB">
        <w:t xml:space="preserve">payı yüzde </w:t>
      </w:r>
      <w:r w:rsidR="007940E3">
        <w:t>3,1</w:t>
      </w:r>
      <w:r w:rsidR="00BB0444">
        <w:t>,</w:t>
      </w:r>
      <w:r w:rsidRPr="009C3D5A">
        <w:t xml:space="preserve"> orta </w:t>
      </w:r>
      <w:r w:rsidR="00C1467F">
        <w:t>yüksek</w:t>
      </w:r>
      <w:r w:rsidRPr="009C3D5A">
        <w:t xml:space="preserve"> tekno</w:t>
      </w:r>
      <w:r w:rsidR="007C155D" w:rsidRPr="009C3D5A">
        <w:t>loji</w:t>
      </w:r>
      <w:r w:rsidR="00C1467F">
        <w:t>li</w:t>
      </w:r>
      <w:r w:rsidR="007C155D" w:rsidRPr="009C3D5A">
        <w:t xml:space="preserve"> ürünlerin payı ise yüzde </w:t>
      </w:r>
      <w:r w:rsidR="0019086A">
        <w:t>3</w:t>
      </w:r>
      <w:r w:rsidR="007940E3">
        <w:t>3,9</w:t>
      </w:r>
      <w:r w:rsidR="00DC3282">
        <w:t>’</w:t>
      </w:r>
      <w:r w:rsidR="007940E3">
        <w:t>du</w:t>
      </w:r>
      <w:r w:rsidR="000048F7">
        <w:t>r</w:t>
      </w:r>
      <w:r w:rsidRPr="009C3D5A">
        <w:t>.</w:t>
      </w:r>
      <w:r w:rsidR="00E27E57" w:rsidRPr="009C3D5A">
        <w:t xml:space="preserve"> İthalatta ise imalat </w:t>
      </w:r>
      <w:r w:rsidR="007C155D" w:rsidRPr="009C3D5A">
        <w:t>sa</w:t>
      </w:r>
      <w:r w:rsidR="008378AE">
        <w:t xml:space="preserve">nayi ürünleri içerisinde </w:t>
      </w:r>
      <w:r w:rsidR="00C1467F">
        <w:t>yüksek</w:t>
      </w:r>
      <w:r w:rsidR="00E27E57" w:rsidRPr="009C3D5A">
        <w:t xml:space="preserve"> teknoloji</w:t>
      </w:r>
      <w:r w:rsidR="00C1467F">
        <w:t>li</w:t>
      </w:r>
      <w:r w:rsidR="00E27E57" w:rsidRPr="009C3D5A">
        <w:t xml:space="preserve"> </w:t>
      </w:r>
      <w:r w:rsidR="005C1EC6">
        <w:t>ürünlerinin payı yüzde 1</w:t>
      </w:r>
      <w:r w:rsidR="007940E3">
        <w:t>3,9</w:t>
      </w:r>
      <w:r w:rsidR="00E27E57" w:rsidRPr="009C3D5A">
        <w:t xml:space="preserve"> olmuştur. Orta </w:t>
      </w:r>
      <w:r w:rsidR="00C1467F">
        <w:t>yüksek</w:t>
      </w:r>
      <w:r w:rsidR="00E27E57" w:rsidRPr="009C3D5A">
        <w:t xml:space="preserve"> teknoloji</w:t>
      </w:r>
      <w:r w:rsidR="00AB4023">
        <w:t>li ürünlerin payı ise yüzde 42,</w:t>
      </w:r>
      <w:r w:rsidR="007940E3">
        <w:t>2</w:t>
      </w:r>
      <w:r w:rsidR="005C1EC6">
        <w:t>’</w:t>
      </w:r>
      <w:r w:rsidR="007940E3">
        <w:t>dir</w:t>
      </w:r>
      <w:r w:rsidR="00E27E57" w:rsidRPr="009C3D5A">
        <w:t>.</w:t>
      </w:r>
      <w:r w:rsidR="00E27E57" w:rsidRPr="00DD6AA5">
        <w:t xml:space="preserve"> </w:t>
      </w:r>
    </w:p>
    <w:p w:rsidR="00CE7503" w:rsidRPr="00DD6AA5" w:rsidRDefault="00CE7503"/>
    <w:p w:rsidR="006A09A3" w:rsidRPr="00DD6AA5" w:rsidRDefault="006A09A3"/>
    <w:p w:rsidR="006A09A3" w:rsidRPr="00DD6AA5" w:rsidRDefault="006A09A3"/>
    <w:sectPr w:rsidR="006A09A3" w:rsidRPr="00DD6AA5" w:rsidSect="00E2016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539" w:rsidRDefault="00411539" w:rsidP="00F43AC2">
      <w:pPr>
        <w:spacing w:after="0" w:line="240" w:lineRule="auto"/>
      </w:pPr>
      <w:r>
        <w:separator/>
      </w:r>
    </w:p>
  </w:endnote>
  <w:endnote w:type="continuationSeparator" w:id="0">
    <w:p w:rsidR="00411539" w:rsidRDefault="00411539" w:rsidP="00F4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5396"/>
      <w:docPartObj>
        <w:docPartGallery w:val="Page Numbers (Bottom of Page)"/>
        <w:docPartUnique/>
      </w:docPartObj>
    </w:sdtPr>
    <w:sdtEndPr/>
    <w:sdtContent>
      <w:p w:rsidR="00820484" w:rsidRDefault="002B763F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9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0484" w:rsidRDefault="0082048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539" w:rsidRDefault="00411539" w:rsidP="00F43AC2">
      <w:pPr>
        <w:spacing w:after="0" w:line="240" w:lineRule="auto"/>
      </w:pPr>
      <w:r>
        <w:separator/>
      </w:r>
    </w:p>
  </w:footnote>
  <w:footnote w:type="continuationSeparator" w:id="0">
    <w:p w:rsidR="00411539" w:rsidRDefault="00411539" w:rsidP="00F43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01"/>
    <w:rsid w:val="000048F7"/>
    <w:rsid w:val="00011017"/>
    <w:rsid w:val="00011E51"/>
    <w:rsid w:val="000169CD"/>
    <w:rsid w:val="000174DC"/>
    <w:rsid w:val="00024004"/>
    <w:rsid w:val="00024E59"/>
    <w:rsid w:val="00030B38"/>
    <w:rsid w:val="00034A51"/>
    <w:rsid w:val="00047A3E"/>
    <w:rsid w:val="00047CE7"/>
    <w:rsid w:val="00066999"/>
    <w:rsid w:val="000B0F76"/>
    <w:rsid w:val="000B1709"/>
    <w:rsid w:val="000C0786"/>
    <w:rsid w:val="000E09A3"/>
    <w:rsid w:val="000E65E3"/>
    <w:rsid w:val="00104735"/>
    <w:rsid w:val="00117F24"/>
    <w:rsid w:val="00134344"/>
    <w:rsid w:val="001603F9"/>
    <w:rsid w:val="00162B88"/>
    <w:rsid w:val="0019086A"/>
    <w:rsid w:val="00197079"/>
    <w:rsid w:val="001A3903"/>
    <w:rsid w:val="001F4B97"/>
    <w:rsid w:val="001F5C25"/>
    <w:rsid w:val="00207511"/>
    <w:rsid w:val="00207D30"/>
    <w:rsid w:val="002109CE"/>
    <w:rsid w:val="002117E9"/>
    <w:rsid w:val="002157EE"/>
    <w:rsid w:val="002349EC"/>
    <w:rsid w:val="0023568E"/>
    <w:rsid w:val="00240215"/>
    <w:rsid w:val="00254707"/>
    <w:rsid w:val="00270B23"/>
    <w:rsid w:val="00273DDB"/>
    <w:rsid w:val="00284EE7"/>
    <w:rsid w:val="0029300F"/>
    <w:rsid w:val="00293278"/>
    <w:rsid w:val="002956A9"/>
    <w:rsid w:val="002B1532"/>
    <w:rsid w:val="002B628C"/>
    <w:rsid w:val="002B763F"/>
    <w:rsid w:val="002C7332"/>
    <w:rsid w:val="002E5CA2"/>
    <w:rsid w:val="002E6E48"/>
    <w:rsid w:val="00314005"/>
    <w:rsid w:val="00314CD6"/>
    <w:rsid w:val="003367F9"/>
    <w:rsid w:val="00392ED5"/>
    <w:rsid w:val="003944A2"/>
    <w:rsid w:val="003D0EA9"/>
    <w:rsid w:val="003F4F3D"/>
    <w:rsid w:val="00411539"/>
    <w:rsid w:val="00412B6A"/>
    <w:rsid w:val="00421039"/>
    <w:rsid w:val="004602F8"/>
    <w:rsid w:val="00472AF7"/>
    <w:rsid w:val="0048257F"/>
    <w:rsid w:val="004A5050"/>
    <w:rsid w:val="004B1DC6"/>
    <w:rsid w:val="004C5FAB"/>
    <w:rsid w:val="004D49AB"/>
    <w:rsid w:val="004E0C1E"/>
    <w:rsid w:val="004E2F7D"/>
    <w:rsid w:val="004E7AA7"/>
    <w:rsid w:val="004F0E9E"/>
    <w:rsid w:val="00501781"/>
    <w:rsid w:val="005123EB"/>
    <w:rsid w:val="00540D42"/>
    <w:rsid w:val="00577896"/>
    <w:rsid w:val="00587E0B"/>
    <w:rsid w:val="005A735F"/>
    <w:rsid w:val="005B007A"/>
    <w:rsid w:val="005B74E2"/>
    <w:rsid w:val="005C02CC"/>
    <w:rsid w:val="005C1EC6"/>
    <w:rsid w:val="005C2EA6"/>
    <w:rsid w:val="005C5B92"/>
    <w:rsid w:val="005D6CB6"/>
    <w:rsid w:val="005E55BC"/>
    <w:rsid w:val="006006DA"/>
    <w:rsid w:val="0060716F"/>
    <w:rsid w:val="006306C8"/>
    <w:rsid w:val="00634A65"/>
    <w:rsid w:val="00635D39"/>
    <w:rsid w:val="006538E8"/>
    <w:rsid w:val="006634A0"/>
    <w:rsid w:val="00672626"/>
    <w:rsid w:val="00676E49"/>
    <w:rsid w:val="006864AB"/>
    <w:rsid w:val="006A09A3"/>
    <w:rsid w:val="006C1C96"/>
    <w:rsid w:val="006D5432"/>
    <w:rsid w:val="006D5B37"/>
    <w:rsid w:val="006E3C93"/>
    <w:rsid w:val="006E7CD2"/>
    <w:rsid w:val="006F66DA"/>
    <w:rsid w:val="00713D96"/>
    <w:rsid w:val="00714CDE"/>
    <w:rsid w:val="00735D9A"/>
    <w:rsid w:val="00764636"/>
    <w:rsid w:val="00790C7B"/>
    <w:rsid w:val="007940E3"/>
    <w:rsid w:val="007A222E"/>
    <w:rsid w:val="007C155D"/>
    <w:rsid w:val="007C407A"/>
    <w:rsid w:val="007C538F"/>
    <w:rsid w:val="007D10EA"/>
    <w:rsid w:val="007F367A"/>
    <w:rsid w:val="007F50E4"/>
    <w:rsid w:val="00800962"/>
    <w:rsid w:val="00801235"/>
    <w:rsid w:val="00820484"/>
    <w:rsid w:val="008269F5"/>
    <w:rsid w:val="00831B3B"/>
    <w:rsid w:val="008378AE"/>
    <w:rsid w:val="00847FC9"/>
    <w:rsid w:val="00867C71"/>
    <w:rsid w:val="0087171E"/>
    <w:rsid w:val="00886790"/>
    <w:rsid w:val="00890E8A"/>
    <w:rsid w:val="00894D47"/>
    <w:rsid w:val="008974F5"/>
    <w:rsid w:val="008A1816"/>
    <w:rsid w:val="008B246F"/>
    <w:rsid w:val="008D17ED"/>
    <w:rsid w:val="008F7528"/>
    <w:rsid w:val="00913A90"/>
    <w:rsid w:val="009435E7"/>
    <w:rsid w:val="0094521C"/>
    <w:rsid w:val="0095258A"/>
    <w:rsid w:val="00955246"/>
    <w:rsid w:val="0097055D"/>
    <w:rsid w:val="0097436F"/>
    <w:rsid w:val="00981AD3"/>
    <w:rsid w:val="009C3D5A"/>
    <w:rsid w:val="009E6645"/>
    <w:rsid w:val="009E6845"/>
    <w:rsid w:val="00A01B59"/>
    <w:rsid w:val="00A06E3C"/>
    <w:rsid w:val="00A13941"/>
    <w:rsid w:val="00A17326"/>
    <w:rsid w:val="00A2009E"/>
    <w:rsid w:val="00A25582"/>
    <w:rsid w:val="00A3750A"/>
    <w:rsid w:val="00A62888"/>
    <w:rsid w:val="00A6670C"/>
    <w:rsid w:val="00A86AF1"/>
    <w:rsid w:val="00A9435C"/>
    <w:rsid w:val="00AB4023"/>
    <w:rsid w:val="00AD00C3"/>
    <w:rsid w:val="00AF5794"/>
    <w:rsid w:val="00B01160"/>
    <w:rsid w:val="00B116E5"/>
    <w:rsid w:val="00B1525D"/>
    <w:rsid w:val="00B27572"/>
    <w:rsid w:val="00B355A8"/>
    <w:rsid w:val="00B61CAE"/>
    <w:rsid w:val="00B772CF"/>
    <w:rsid w:val="00B77C4F"/>
    <w:rsid w:val="00B861B5"/>
    <w:rsid w:val="00BB0444"/>
    <w:rsid w:val="00BB3701"/>
    <w:rsid w:val="00BC0061"/>
    <w:rsid w:val="00BC608C"/>
    <w:rsid w:val="00BD283D"/>
    <w:rsid w:val="00BF70F9"/>
    <w:rsid w:val="00C13B06"/>
    <w:rsid w:val="00C1467F"/>
    <w:rsid w:val="00C1695B"/>
    <w:rsid w:val="00C21BFE"/>
    <w:rsid w:val="00C56530"/>
    <w:rsid w:val="00C6508C"/>
    <w:rsid w:val="00C7379E"/>
    <w:rsid w:val="00C77119"/>
    <w:rsid w:val="00CA31BE"/>
    <w:rsid w:val="00CA6A1E"/>
    <w:rsid w:val="00CB030C"/>
    <w:rsid w:val="00CB0A4D"/>
    <w:rsid w:val="00CC376F"/>
    <w:rsid w:val="00CD4865"/>
    <w:rsid w:val="00CE7503"/>
    <w:rsid w:val="00CF2B5C"/>
    <w:rsid w:val="00D074EA"/>
    <w:rsid w:val="00D07D01"/>
    <w:rsid w:val="00D308FB"/>
    <w:rsid w:val="00D337A5"/>
    <w:rsid w:val="00D471EB"/>
    <w:rsid w:val="00D5436F"/>
    <w:rsid w:val="00D57F21"/>
    <w:rsid w:val="00D61B49"/>
    <w:rsid w:val="00D80CC9"/>
    <w:rsid w:val="00D864BD"/>
    <w:rsid w:val="00D8702A"/>
    <w:rsid w:val="00DA63E7"/>
    <w:rsid w:val="00DA7CF5"/>
    <w:rsid w:val="00DB20D7"/>
    <w:rsid w:val="00DB359A"/>
    <w:rsid w:val="00DC15D2"/>
    <w:rsid w:val="00DC3282"/>
    <w:rsid w:val="00DC5CA2"/>
    <w:rsid w:val="00DD6AA5"/>
    <w:rsid w:val="00E0516C"/>
    <w:rsid w:val="00E07918"/>
    <w:rsid w:val="00E20164"/>
    <w:rsid w:val="00E2368A"/>
    <w:rsid w:val="00E27E57"/>
    <w:rsid w:val="00E34DEB"/>
    <w:rsid w:val="00E50701"/>
    <w:rsid w:val="00E542E3"/>
    <w:rsid w:val="00E551E6"/>
    <w:rsid w:val="00E57C88"/>
    <w:rsid w:val="00E83CB2"/>
    <w:rsid w:val="00E86C2E"/>
    <w:rsid w:val="00E92FFF"/>
    <w:rsid w:val="00EB3D95"/>
    <w:rsid w:val="00EB5E5C"/>
    <w:rsid w:val="00EC602A"/>
    <w:rsid w:val="00F11B62"/>
    <w:rsid w:val="00F128F8"/>
    <w:rsid w:val="00F138EA"/>
    <w:rsid w:val="00F306F9"/>
    <w:rsid w:val="00F3379C"/>
    <w:rsid w:val="00F43AC2"/>
    <w:rsid w:val="00F53242"/>
    <w:rsid w:val="00F727B6"/>
    <w:rsid w:val="00F72F39"/>
    <w:rsid w:val="00FA365B"/>
    <w:rsid w:val="00FB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01"/>
    <w:rPr>
      <w:rFonts w:asciiTheme="minorHAnsi" w:eastAsiaTheme="minorEastAsia" w:hAnsiTheme="minorHAns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7D01"/>
    <w:rPr>
      <w:rFonts w:asciiTheme="minorHAnsi" w:eastAsiaTheme="minorEastAsia" w:hAnsiTheme="minorHAns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01"/>
    <w:rPr>
      <w:rFonts w:ascii="Tahoma" w:eastAsiaTheme="minorEastAsia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43AC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43AC2"/>
    <w:rPr>
      <w:rFonts w:asciiTheme="minorHAnsi" w:eastAsiaTheme="minorEastAsia" w:hAnsiTheme="minorHAns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43AC2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4E7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AA7"/>
    <w:rPr>
      <w:rFonts w:asciiTheme="minorHAnsi" w:eastAsiaTheme="minorEastAsia" w:hAnsiTheme="minorHAnsi"/>
      <w:lang w:eastAsia="tr-TR"/>
    </w:rPr>
  </w:style>
  <w:style w:type="table" w:styleId="OrtaGlgeleme2-Vurgu1">
    <w:name w:val="Medium Shading 2 Accent 1"/>
    <w:basedOn w:val="NormalTablo"/>
    <w:uiPriority w:val="64"/>
    <w:rsid w:val="005017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82048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01"/>
    <w:rPr>
      <w:rFonts w:asciiTheme="minorHAnsi" w:eastAsiaTheme="minorEastAsia" w:hAnsiTheme="minorHAns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7D01"/>
    <w:rPr>
      <w:rFonts w:asciiTheme="minorHAnsi" w:eastAsiaTheme="minorEastAsia" w:hAnsiTheme="minorHAns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01"/>
    <w:rPr>
      <w:rFonts w:ascii="Tahoma" w:eastAsiaTheme="minorEastAsia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43AC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43AC2"/>
    <w:rPr>
      <w:rFonts w:asciiTheme="minorHAnsi" w:eastAsiaTheme="minorEastAsia" w:hAnsiTheme="minorHAns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43AC2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4E7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AA7"/>
    <w:rPr>
      <w:rFonts w:asciiTheme="minorHAnsi" w:eastAsiaTheme="minorEastAsia" w:hAnsiTheme="minorHAnsi"/>
      <w:lang w:eastAsia="tr-TR"/>
    </w:rPr>
  </w:style>
  <w:style w:type="table" w:styleId="OrtaGlgeleme2-Vurgu1">
    <w:name w:val="Medium Shading 2 Accent 1"/>
    <w:basedOn w:val="NormalTablo"/>
    <w:uiPriority w:val="64"/>
    <w:rsid w:val="005017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82048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fsan\Desktop\Cloud\HH_D&#305;&#351;%20Ticaret%20&#304;statistik\DT_0418\Mart_d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fsan\Desktop\Cloud\HH_D&#305;&#351;%20Ticaret%20&#304;statistik\DT_0418\Mart_d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Sayfa1!$O$7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cat>
            <c:strRef>
              <c:f>Sayfa1!$N$8:$N$19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Sayfa1!$O$8:$O$19</c:f>
              <c:numCache>
                <c:formatCode>0.0</c:formatCode>
                <c:ptCount val="12"/>
                <c:pt idx="0">
                  <c:v>11.247750426000001</c:v>
                </c:pt>
                <c:pt idx="1">
                  <c:v>12.090142544999999</c:v>
                </c:pt>
                <c:pt idx="2">
                  <c:v>14.471312647</c:v>
                </c:pt>
                <c:pt idx="3">
                  <c:v>12.860234769</c:v>
                </c:pt>
                <c:pt idx="4">
                  <c:v>13.5824804</c:v>
                </c:pt>
                <c:pt idx="5">
                  <c:v>13.125570171</c:v>
                </c:pt>
                <c:pt idx="6">
                  <c:v>12.612480211999999</c:v>
                </c:pt>
                <c:pt idx="7">
                  <c:v>13.248696638</c:v>
                </c:pt>
                <c:pt idx="8">
                  <c:v>11.810509530999999</c:v>
                </c:pt>
                <c:pt idx="9">
                  <c:v>13.913503005000001</c:v>
                </c:pt>
                <c:pt idx="10">
                  <c:v>14.189511241</c:v>
                </c:pt>
                <c:pt idx="11">
                  <c:v>13.848055579</c:v>
                </c:pt>
              </c:numCache>
            </c:numRef>
          </c:val>
        </c:ser>
        <c:ser>
          <c:idx val="1"/>
          <c:order val="1"/>
          <c:tx>
            <c:strRef>
              <c:f>Sayfa1!$P$7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Sayfa1!$N$8:$N$19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Sayfa1!$P$8:$P$19</c:f>
              <c:numCache>
                <c:formatCode>0.0</c:formatCode>
                <c:ptCount val="12"/>
                <c:pt idx="0">
                  <c:v>12.440497110999999</c:v>
                </c:pt>
                <c:pt idx="1">
                  <c:v>13.157868153999999</c:v>
                </c:pt>
                <c:pt idx="2">
                  <c:v>15.586625594000001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81533184"/>
        <c:axId val="81534976"/>
      </c:barChart>
      <c:catAx>
        <c:axId val="81533184"/>
        <c:scaling>
          <c:orientation val="minMax"/>
        </c:scaling>
        <c:delete val="0"/>
        <c:axPos val="b"/>
        <c:majorTickMark val="none"/>
        <c:minorTickMark val="none"/>
        <c:tickLblPos val="nextTo"/>
        <c:crossAx val="81534976"/>
        <c:crosses val="autoZero"/>
        <c:auto val="1"/>
        <c:lblAlgn val="ctr"/>
        <c:lblOffset val="100"/>
        <c:noMultiLvlLbl val="0"/>
      </c:catAx>
      <c:valAx>
        <c:axId val="81534976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815331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Sayfa1!$O$22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cat>
            <c:strRef>
              <c:f>Sayfa1!$N$23:$N$34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Sayfa1!$O$23:$O$34</c:f>
              <c:numCache>
                <c:formatCode>0.0</c:formatCode>
                <c:ptCount val="12"/>
                <c:pt idx="0">
                  <c:v>15.591811566000001</c:v>
                </c:pt>
                <c:pt idx="1">
                  <c:v>15.82599201</c:v>
                </c:pt>
                <c:pt idx="2">
                  <c:v>19.017661973000003</c:v>
                </c:pt>
                <c:pt idx="3">
                  <c:v>17.787918818999998</c:v>
                </c:pt>
                <c:pt idx="4">
                  <c:v>20.923373083000001</c:v>
                </c:pt>
                <c:pt idx="5">
                  <c:v>19.176985742999999</c:v>
                </c:pt>
                <c:pt idx="6">
                  <c:v>21.490873057000002</c:v>
                </c:pt>
                <c:pt idx="7">
                  <c:v>19.162076792000001</c:v>
                </c:pt>
                <c:pt idx="8">
                  <c:v>19.978675852999999</c:v>
                </c:pt>
                <c:pt idx="9">
                  <c:v>21.217288999000001</c:v>
                </c:pt>
                <c:pt idx="10">
                  <c:v>20.540682982</c:v>
                </c:pt>
                <c:pt idx="11">
                  <c:v>23.085301318999999</c:v>
                </c:pt>
              </c:numCache>
            </c:numRef>
          </c:val>
        </c:ser>
        <c:ser>
          <c:idx val="1"/>
          <c:order val="1"/>
          <c:tx>
            <c:strRef>
              <c:f>Sayfa1!$P$22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Sayfa1!$N$23:$N$34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Sayfa1!$P$23:$P$34</c:f>
              <c:numCache>
                <c:formatCode>0.0</c:formatCode>
                <c:ptCount val="12"/>
                <c:pt idx="0">
                  <c:v>21.522744385000003</c:v>
                </c:pt>
                <c:pt idx="1">
                  <c:v>18.937162960000002</c:v>
                </c:pt>
                <c:pt idx="2">
                  <c:v>21.441711997000002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81556992"/>
        <c:axId val="81558528"/>
      </c:barChart>
      <c:catAx>
        <c:axId val="81556992"/>
        <c:scaling>
          <c:orientation val="minMax"/>
        </c:scaling>
        <c:delete val="0"/>
        <c:axPos val="b"/>
        <c:majorTickMark val="none"/>
        <c:minorTickMark val="none"/>
        <c:tickLblPos val="nextTo"/>
        <c:crossAx val="81558528"/>
        <c:crosses val="autoZero"/>
        <c:auto val="1"/>
        <c:lblAlgn val="ctr"/>
        <c:lblOffset val="100"/>
        <c:noMultiLvlLbl val="0"/>
      </c:catAx>
      <c:valAx>
        <c:axId val="8155852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815569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95C82-8F83-4240-8BAC-3B85CB03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ZEN</dc:creator>
  <cp:lastModifiedBy>Taylan</cp:lastModifiedBy>
  <cp:revision>52</cp:revision>
  <dcterms:created xsi:type="dcterms:W3CDTF">2017-12-01T06:18:00Z</dcterms:created>
  <dcterms:modified xsi:type="dcterms:W3CDTF">2018-05-02T08:11:00Z</dcterms:modified>
</cp:coreProperties>
</file>